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90B0F" w14:textId="77777777" w:rsidR="00BD1D48" w:rsidRPr="003755B6" w:rsidRDefault="00BD1D48" w:rsidP="005B4FD6">
      <w:pPr>
        <w:pStyle w:val="Heading6"/>
        <w:autoSpaceDE/>
        <w:autoSpaceDN/>
        <w:adjustRightInd/>
      </w:pPr>
      <w:r w:rsidRPr="003755B6">
        <w:t>Overview of Harrow’s population and changes</w:t>
      </w:r>
    </w:p>
    <w:p w14:paraId="5D290B10" w14:textId="77777777" w:rsidR="00BD1D48" w:rsidRPr="003755B6" w:rsidRDefault="00BD1D48" w:rsidP="00BD1D48">
      <w:pPr>
        <w:spacing w:after="0" w:line="240" w:lineRule="auto"/>
        <w:rPr>
          <w:rFonts w:ascii="Arial" w:hAnsi="Arial" w:cs="Arial"/>
          <w:sz w:val="24"/>
          <w:szCs w:val="24"/>
        </w:rPr>
      </w:pPr>
    </w:p>
    <w:p w14:paraId="5D290B11" w14:textId="77777777" w:rsidR="00485CC3" w:rsidRPr="003755B6" w:rsidRDefault="00485CC3" w:rsidP="004A665D">
      <w:pPr>
        <w:rPr>
          <w:rFonts w:ascii="Arial" w:hAnsi="Arial" w:cs="Arial"/>
          <w:sz w:val="24"/>
          <w:szCs w:val="24"/>
        </w:rPr>
      </w:pPr>
      <w:r w:rsidRPr="003755B6">
        <w:rPr>
          <w:rFonts w:ascii="Arial" w:hAnsi="Arial" w:cs="Arial"/>
          <w:sz w:val="24"/>
          <w:szCs w:val="24"/>
        </w:rPr>
        <w:t>Harrow’s main sources of population data are the Office for National Statistics (</w:t>
      </w:r>
      <w:r w:rsidRPr="003755B6">
        <w:rPr>
          <w:rFonts w:ascii="Arial" w:hAnsi="Arial" w:cs="Arial"/>
          <w:b/>
          <w:sz w:val="24"/>
          <w:szCs w:val="24"/>
        </w:rPr>
        <w:t>ONS</w:t>
      </w:r>
      <w:r w:rsidRPr="003755B6">
        <w:rPr>
          <w:rFonts w:ascii="Arial" w:hAnsi="Arial" w:cs="Arial"/>
          <w:sz w:val="24"/>
          <w:szCs w:val="24"/>
        </w:rPr>
        <w:t>) and the Greater London Authority (</w:t>
      </w:r>
      <w:r w:rsidRPr="003755B6">
        <w:rPr>
          <w:rFonts w:ascii="Arial" w:hAnsi="Arial" w:cs="Arial"/>
          <w:b/>
          <w:sz w:val="24"/>
          <w:szCs w:val="24"/>
        </w:rPr>
        <w:t>GLA</w:t>
      </w:r>
      <w:r w:rsidRPr="003755B6">
        <w:rPr>
          <w:rFonts w:ascii="Arial" w:hAnsi="Arial" w:cs="Arial"/>
          <w:sz w:val="24"/>
          <w:szCs w:val="24"/>
        </w:rPr>
        <w:t xml:space="preserve">).  </w:t>
      </w:r>
    </w:p>
    <w:p w14:paraId="5D290B12" w14:textId="2B4F0143" w:rsidR="00485CC3" w:rsidRPr="003755B6" w:rsidRDefault="00485CC3" w:rsidP="006B7085">
      <w:pPr>
        <w:rPr>
          <w:rFonts w:ascii="Arial" w:hAnsi="Arial" w:cs="Arial"/>
          <w:sz w:val="24"/>
          <w:szCs w:val="24"/>
        </w:rPr>
      </w:pPr>
      <w:r w:rsidRPr="003755B6">
        <w:rPr>
          <w:rFonts w:ascii="Arial" w:hAnsi="Arial" w:cs="Arial"/>
          <w:sz w:val="24"/>
          <w:szCs w:val="24"/>
        </w:rPr>
        <w:t>The ONS produce the National Cen</w:t>
      </w:r>
      <w:r w:rsidR="001057DC" w:rsidRPr="003755B6">
        <w:rPr>
          <w:rFonts w:ascii="Arial" w:hAnsi="Arial" w:cs="Arial"/>
          <w:sz w:val="24"/>
          <w:szCs w:val="24"/>
        </w:rPr>
        <w:t>s</w:t>
      </w:r>
      <w:r w:rsidRPr="003755B6">
        <w:rPr>
          <w:rFonts w:ascii="Arial" w:hAnsi="Arial" w:cs="Arial"/>
          <w:sz w:val="24"/>
          <w:szCs w:val="24"/>
        </w:rPr>
        <w:t>us</w:t>
      </w:r>
      <w:r w:rsidR="009A7F95" w:rsidRPr="003755B6">
        <w:rPr>
          <w:rFonts w:ascii="Arial" w:hAnsi="Arial" w:cs="Arial"/>
          <w:sz w:val="24"/>
          <w:szCs w:val="24"/>
        </w:rPr>
        <w:t xml:space="preserve"> every decade, the </w:t>
      </w:r>
      <w:r w:rsidRPr="003755B6">
        <w:rPr>
          <w:rFonts w:ascii="Arial" w:hAnsi="Arial" w:cs="Arial"/>
          <w:sz w:val="24"/>
          <w:szCs w:val="24"/>
        </w:rPr>
        <w:t>Mid-Year Estimates (</w:t>
      </w:r>
      <w:r w:rsidRPr="003755B6">
        <w:rPr>
          <w:rFonts w:ascii="Arial" w:hAnsi="Arial" w:cs="Arial"/>
          <w:b/>
          <w:sz w:val="24"/>
          <w:szCs w:val="24"/>
        </w:rPr>
        <w:t>MYE</w:t>
      </w:r>
      <w:r w:rsidRPr="003755B6">
        <w:rPr>
          <w:rFonts w:ascii="Arial" w:hAnsi="Arial" w:cs="Arial"/>
          <w:sz w:val="24"/>
          <w:szCs w:val="24"/>
        </w:rPr>
        <w:t>) annually and the Sub-National Population Projections (</w:t>
      </w:r>
      <w:r w:rsidRPr="003755B6">
        <w:rPr>
          <w:rFonts w:ascii="Arial" w:hAnsi="Arial" w:cs="Arial"/>
          <w:b/>
          <w:sz w:val="24"/>
          <w:szCs w:val="24"/>
        </w:rPr>
        <w:t>SNPP</w:t>
      </w:r>
      <w:r w:rsidRPr="003755B6">
        <w:rPr>
          <w:rFonts w:ascii="Arial" w:hAnsi="Arial" w:cs="Arial"/>
          <w:sz w:val="24"/>
          <w:szCs w:val="24"/>
        </w:rPr>
        <w:t xml:space="preserve">) approximately every two years; these datasets include births and migration data.  </w:t>
      </w:r>
    </w:p>
    <w:p w14:paraId="2B0374D0" w14:textId="77777777" w:rsidR="002268BB" w:rsidRPr="003755B6" w:rsidRDefault="002268BB" w:rsidP="002268BB">
      <w:pPr>
        <w:autoSpaceDE w:val="0"/>
        <w:autoSpaceDN w:val="0"/>
        <w:spacing w:after="0" w:line="240" w:lineRule="auto"/>
        <w:rPr>
          <w:rFonts w:ascii="Arial" w:hAnsi="Arial" w:cs="Arial"/>
          <w:color w:val="000000"/>
          <w:sz w:val="24"/>
          <w:szCs w:val="24"/>
          <w:lang w:eastAsia="en-GB"/>
        </w:rPr>
      </w:pPr>
      <w:r w:rsidRPr="003755B6">
        <w:rPr>
          <w:rFonts w:ascii="Arial" w:hAnsi="Arial" w:cs="Arial"/>
          <w:color w:val="000000"/>
          <w:sz w:val="24"/>
          <w:szCs w:val="24"/>
          <w:lang w:eastAsia="en-GB"/>
        </w:rPr>
        <w:t>The GLA Demography Team produce a range of annually updated population projections at both borough and ward level for the 33 local authorities in the London region. Each round of projections includes a number of variants designed to meet a range of requirements, but in general variants form two groups:</w:t>
      </w:r>
    </w:p>
    <w:p w14:paraId="3EA520A3" w14:textId="77777777" w:rsidR="002268BB" w:rsidRPr="003755B6" w:rsidRDefault="002268BB" w:rsidP="002268BB">
      <w:pPr>
        <w:autoSpaceDE w:val="0"/>
        <w:autoSpaceDN w:val="0"/>
        <w:spacing w:after="0" w:line="240" w:lineRule="auto"/>
        <w:rPr>
          <w:rFonts w:ascii="Arial" w:hAnsi="Arial" w:cs="Arial"/>
          <w:sz w:val="24"/>
          <w:szCs w:val="24"/>
        </w:rPr>
      </w:pPr>
    </w:p>
    <w:p w14:paraId="7F3323AD" w14:textId="77777777" w:rsidR="002268BB" w:rsidRPr="003755B6" w:rsidRDefault="002268BB" w:rsidP="002268BB">
      <w:pPr>
        <w:numPr>
          <w:ilvl w:val="0"/>
          <w:numId w:val="2"/>
        </w:numPr>
        <w:autoSpaceDE w:val="0"/>
        <w:autoSpaceDN w:val="0"/>
        <w:spacing w:after="0" w:line="240" w:lineRule="auto"/>
        <w:rPr>
          <w:rFonts w:ascii="Arial" w:hAnsi="Arial" w:cs="Arial"/>
          <w:sz w:val="24"/>
          <w:szCs w:val="24"/>
        </w:rPr>
      </w:pPr>
      <w:r w:rsidRPr="003755B6">
        <w:rPr>
          <w:rFonts w:ascii="Arial" w:hAnsi="Arial" w:cs="Arial"/>
          <w:b/>
          <w:sz w:val="24"/>
          <w:szCs w:val="24"/>
        </w:rPr>
        <w:t>Borough Preferred Option (BPO)</w:t>
      </w:r>
      <w:r w:rsidRPr="003755B6">
        <w:rPr>
          <w:rFonts w:ascii="Arial" w:hAnsi="Arial" w:cs="Arial"/>
          <w:sz w:val="24"/>
          <w:szCs w:val="24"/>
        </w:rPr>
        <w:t>.  This is the default option but is dependent on boroughs providing development data to be incorporated into the projections.</w:t>
      </w:r>
    </w:p>
    <w:p w14:paraId="7D7DCB89" w14:textId="77777777" w:rsidR="002268BB" w:rsidRPr="003755B6" w:rsidRDefault="002268BB" w:rsidP="002268BB">
      <w:pPr>
        <w:numPr>
          <w:ilvl w:val="0"/>
          <w:numId w:val="2"/>
        </w:numPr>
        <w:autoSpaceDE w:val="0"/>
        <w:autoSpaceDN w:val="0"/>
        <w:spacing w:after="0" w:line="240" w:lineRule="auto"/>
        <w:rPr>
          <w:rFonts w:ascii="Arial" w:hAnsi="Arial" w:cs="Arial"/>
          <w:sz w:val="24"/>
          <w:szCs w:val="24"/>
        </w:rPr>
      </w:pPr>
      <w:r w:rsidRPr="003755B6">
        <w:rPr>
          <w:rFonts w:ascii="Arial" w:hAnsi="Arial" w:cs="Arial"/>
          <w:b/>
          <w:sz w:val="24"/>
          <w:szCs w:val="24"/>
        </w:rPr>
        <w:t>The latest GLA ward level Strategic Housing Land Availability Assessment (SHLAA)</w:t>
      </w:r>
      <w:r w:rsidRPr="003755B6">
        <w:rPr>
          <w:rFonts w:ascii="Arial" w:hAnsi="Arial" w:cs="Arial"/>
          <w:sz w:val="24"/>
          <w:szCs w:val="24"/>
        </w:rPr>
        <w:t xml:space="preserve"> – capped AHS (average household size) population projections for all wards in the local authority.  This is the option if boroughs have not provided their development data.</w:t>
      </w:r>
    </w:p>
    <w:p w14:paraId="08C597F3" w14:textId="77777777" w:rsidR="00F67C0E" w:rsidRPr="003755B6" w:rsidRDefault="00F67C0E" w:rsidP="00F67C0E">
      <w:pPr>
        <w:autoSpaceDE w:val="0"/>
        <w:autoSpaceDN w:val="0"/>
        <w:spacing w:after="0" w:line="240" w:lineRule="auto"/>
        <w:ind w:left="720"/>
        <w:rPr>
          <w:rFonts w:ascii="Arial" w:hAnsi="Arial" w:cs="Arial"/>
          <w:sz w:val="24"/>
          <w:szCs w:val="24"/>
        </w:rPr>
      </w:pPr>
    </w:p>
    <w:p w14:paraId="5D290B13" w14:textId="1ED767AE" w:rsidR="00BE766A" w:rsidRPr="003755B6" w:rsidRDefault="002268BB" w:rsidP="002268BB">
      <w:pPr>
        <w:autoSpaceDE w:val="0"/>
        <w:autoSpaceDN w:val="0"/>
        <w:spacing w:after="0" w:line="240" w:lineRule="auto"/>
        <w:rPr>
          <w:rFonts w:ascii="Arial" w:hAnsi="Arial" w:cs="Arial"/>
          <w:sz w:val="24"/>
          <w:szCs w:val="24"/>
        </w:rPr>
      </w:pPr>
      <w:r w:rsidRPr="003755B6">
        <w:rPr>
          <w:rFonts w:ascii="Arial" w:hAnsi="Arial" w:cs="Arial"/>
          <w:sz w:val="24"/>
          <w:szCs w:val="24"/>
        </w:rPr>
        <w:t xml:space="preserve">Harrow </w:t>
      </w:r>
      <w:r w:rsidR="00C56035" w:rsidRPr="003755B6">
        <w:rPr>
          <w:rFonts w:ascii="Arial" w:hAnsi="Arial" w:cs="Arial"/>
          <w:sz w:val="24"/>
          <w:szCs w:val="24"/>
        </w:rPr>
        <w:t>use</w:t>
      </w:r>
      <w:r w:rsidRPr="003755B6">
        <w:rPr>
          <w:rFonts w:ascii="Arial" w:hAnsi="Arial" w:cs="Arial"/>
          <w:sz w:val="24"/>
          <w:szCs w:val="24"/>
        </w:rPr>
        <w:t>s</w:t>
      </w:r>
      <w:r w:rsidR="00C56035" w:rsidRPr="003755B6">
        <w:rPr>
          <w:rFonts w:ascii="Arial" w:hAnsi="Arial" w:cs="Arial"/>
          <w:sz w:val="24"/>
          <w:szCs w:val="24"/>
        </w:rPr>
        <w:t xml:space="preserve"> the </w:t>
      </w:r>
      <w:r w:rsidRPr="003755B6">
        <w:rPr>
          <w:rFonts w:ascii="Arial" w:hAnsi="Arial" w:cs="Arial"/>
          <w:sz w:val="24"/>
          <w:szCs w:val="24"/>
        </w:rPr>
        <w:t xml:space="preserve">GLA’s </w:t>
      </w:r>
      <w:r w:rsidR="00C56035" w:rsidRPr="003755B6">
        <w:rPr>
          <w:rFonts w:ascii="Arial" w:hAnsi="Arial" w:cs="Arial"/>
          <w:sz w:val="24"/>
          <w:szCs w:val="24"/>
        </w:rPr>
        <w:t>Borough Preferred Option</w:t>
      </w:r>
      <w:r w:rsidRPr="003755B6">
        <w:rPr>
          <w:rFonts w:ascii="Arial" w:hAnsi="Arial" w:cs="Arial"/>
          <w:sz w:val="24"/>
          <w:szCs w:val="24"/>
        </w:rPr>
        <w:t xml:space="preserve">, which are based on the </w:t>
      </w:r>
      <w:r w:rsidR="00C56035" w:rsidRPr="003755B6">
        <w:rPr>
          <w:rFonts w:ascii="Arial" w:hAnsi="Arial" w:cs="Arial"/>
          <w:sz w:val="24"/>
          <w:szCs w:val="24"/>
        </w:rPr>
        <w:t xml:space="preserve">latest </w:t>
      </w:r>
      <w:r w:rsidRPr="003755B6">
        <w:rPr>
          <w:rFonts w:ascii="Arial" w:hAnsi="Arial" w:cs="Arial"/>
          <w:sz w:val="24"/>
          <w:szCs w:val="24"/>
        </w:rPr>
        <w:t xml:space="preserve">available </w:t>
      </w:r>
      <w:r w:rsidR="00C56035" w:rsidRPr="003755B6">
        <w:rPr>
          <w:rFonts w:ascii="Arial" w:hAnsi="Arial" w:cs="Arial"/>
          <w:sz w:val="24"/>
          <w:szCs w:val="24"/>
        </w:rPr>
        <w:t>housing trajectory</w:t>
      </w:r>
      <w:r w:rsidRPr="003755B6">
        <w:rPr>
          <w:rFonts w:ascii="Arial" w:hAnsi="Arial" w:cs="Arial"/>
          <w:sz w:val="24"/>
          <w:szCs w:val="24"/>
        </w:rPr>
        <w:t>, to run our School Roll Projections on</w:t>
      </w:r>
      <w:r w:rsidR="00C56035" w:rsidRPr="003755B6">
        <w:rPr>
          <w:rFonts w:ascii="Arial" w:hAnsi="Arial" w:cs="Arial"/>
          <w:sz w:val="24"/>
          <w:szCs w:val="24"/>
        </w:rPr>
        <w:t>.</w:t>
      </w:r>
      <w:r w:rsidR="00485CC3" w:rsidRPr="003755B6">
        <w:rPr>
          <w:rFonts w:ascii="Arial" w:hAnsi="Arial" w:cs="Arial"/>
          <w:sz w:val="24"/>
          <w:szCs w:val="24"/>
        </w:rPr>
        <w:t xml:space="preserve">  </w:t>
      </w:r>
    </w:p>
    <w:p w14:paraId="2718C5E1" w14:textId="77777777" w:rsidR="002268BB" w:rsidRPr="003755B6" w:rsidRDefault="002268BB" w:rsidP="002268BB">
      <w:pPr>
        <w:autoSpaceDE w:val="0"/>
        <w:autoSpaceDN w:val="0"/>
        <w:spacing w:after="0" w:line="240" w:lineRule="auto"/>
        <w:rPr>
          <w:rFonts w:ascii="Arial" w:hAnsi="Arial" w:cs="Arial"/>
          <w:sz w:val="24"/>
          <w:szCs w:val="24"/>
        </w:rPr>
      </w:pPr>
    </w:p>
    <w:p w14:paraId="5D290B15" w14:textId="2C7EF988" w:rsidR="0063656B" w:rsidRPr="003755B6" w:rsidRDefault="00CD419C" w:rsidP="0063656B">
      <w:pPr>
        <w:autoSpaceDE w:val="0"/>
        <w:autoSpaceDN w:val="0"/>
        <w:adjustRightInd w:val="0"/>
        <w:rPr>
          <w:rFonts w:ascii="Arial" w:hAnsi="Arial" w:cs="Arial"/>
          <w:b/>
          <w:bCs/>
          <w:sz w:val="24"/>
          <w:szCs w:val="24"/>
        </w:rPr>
      </w:pPr>
      <w:r w:rsidRPr="003755B6">
        <w:rPr>
          <w:rFonts w:ascii="Arial" w:hAnsi="Arial" w:cs="Arial"/>
          <w:b/>
          <w:bCs/>
          <w:sz w:val="24"/>
          <w:szCs w:val="24"/>
        </w:rPr>
        <w:t xml:space="preserve">ONS </w:t>
      </w:r>
      <w:r w:rsidR="0063656B" w:rsidRPr="003755B6">
        <w:rPr>
          <w:rFonts w:ascii="Arial" w:hAnsi="Arial" w:cs="Arial"/>
          <w:b/>
          <w:bCs/>
          <w:sz w:val="24"/>
          <w:szCs w:val="24"/>
        </w:rPr>
        <w:t>2011 National Census</w:t>
      </w:r>
    </w:p>
    <w:p w14:paraId="5D290B16" w14:textId="77777777" w:rsidR="00BE766A" w:rsidRPr="003755B6" w:rsidRDefault="00BE766A" w:rsidP="00BE766A">
      <w:pPr>
        <w:autoSpaceDE w:val="0"/>
        <w:autoSpaceDN w:val="0"/>
        <w:adjustRightInd w:val="0"/>
        <w:rPr>
          <w:rFonts w:ascii="Arial" w:hAnsi="Arial" w:cs="Arial"/>
          <w:bCs/>
          <w:color w:val="000000"/>
          <w:sz w:val="24"/>
          <w:szCs w:val="24"/>
        </w:rPr>
      </w:pPr>
      <w:r w:rsidRPr="003755B6">
        <w:rPr>
          <w:rFonts w:ascii="Arial" w:hAnsi="Arial" w:cs="Arial"/>
          <w:bCs/>
          <w:sz w:val="24"/>
          <w:szCs w:val="24"/>
        </w:rPr>
        <w:t xml:space="preserve">Harrow’s population has been changing and increasing since the 2001 Census.  A number of factors have contributed to this </w:t>
      </w:r>
      <w:r w:rsidR="00F41EAA" w:rsidRPr="003755B6">
        <w:rPr>
          <w:rFonts w:ascii="Arial" w:hAnsi="Arial" w:cs="Arial"/>
          <w:bCs/>
          <w:sz w:val="24"/>
          <w:szCs w:val="24"/>
        </w:rPr>
        <w:t>position;</w:t>
      </w:r>
      <w:r w:rsidRPr="003755B6">
        <w:rPr>
          <w:rFonts w:ascii="Arial" w:hAnsi="Arial" w:cs="Arial"/>
          <w:bCs/>
          <w:sz w:val="24"/>
          <w:szCs w:val="24"/>
        </w:rPr>
        <w:t xml:space="preserve"> these are outlined in this document.</w:t>
      </w:r>
    </w:p>
    <w:p w14:paraId="5D290B17" w14:textId="58DC565B" w:rsidR="0063656B" w:rsidRPr="003755B6" w:rsidRDefault="0063656B" w:rsidP="0063656B">
      <w:pPr>
        <w:autoSpaceDE w:val="0"/>
        <w:autoSpaceDN w:val="0"/>
        <w:adjustRightInd w:val="0"/>
        <w:rPr>
          <w:rFonts w:ascii="Arial" w:hAnsi="Arial" w:cs="Arial"/>
          <w:sz w:val="24"/>
          <w:szCs w:val="24"/>
        </w:rPr>
      </w:pPr>
      <w:r w:rsidRPr="003755B6">
        <w:rPr>
          <w:rFonts w:ascii="Arial" w:hAnsi="Arial" w:cs="Arial"/>
          <w:bCs/>
          <w:sz w:val="24"/>
          <w:szCs w:val="24"/>
        </w:rPr>
        <w:t xml:space="preserve">The 2011 National Census revealed that Harrow’s population is estimated to have increased to 239,100; this figure is 15.6% higher than the 2001 Census showed, </w:t>
      </w:r>
      <w:r w:rsidRPr="003755B6">
        <w:rPr>
          <w:rFonts w:ascii="Arial" w:hAnsi="Arial" w:cs="Arial"/>
          <w:sz w:val="24"/>
          <w:szCs w:val="24"/>
        </w:rPr>
        <w:t xml:space="preserve">and the ONS </w:t>
      </w:r>
      <w:r w:rsidR="00B83373" w:rsidRPr="003755B6">
        <w:rPr>
          <w:rFonts w:ascii="Arial" w:hAnsi="Arial" w:cs="Arial"/>
          <w:sz w:val="24"/>
          <w:szCs w:val="24"/>
        </w:rPr>
        <w:t xml:space="preserve">revised </w:t>
      </w:r>
      <w:r w:rsidRPr="003755B6">
        <w:rPr>
          <w:rFonts w:ascii="Arial" w:hAnsi="Arial" w:cs="Arial"/>
          <w:sz w:val="24"/>
          <w:szCs w:val="24"/>
        </w:rPr>
        <w:t>201</w:t>
      </w:r>
      <w:r w:rsidR="00B83373" w:rsidRPr="003755B6">
        <w:rPr>
          <w:rFonts w:ascii="Arial" w:hAnsi="Arial" w:cs="Arial"/>
          <w:sz w:val="24"/>
          <w:szCs w:val="24"/>
        </w:rPr>
        <w:t>6</w:t>
      </w:r>
      <w:r w:rsidRPr="003755B6">
        <w:rPr>
          <w:rFonts w:ascii="Arial" w:hAnsi="Arial" w:cs="Arial"/>
          <w:sz w:val="24"/>
          <w:szCs w:val="24"/>
        </w:rPr>
        <w:t xml:space="preserve"> MYE</w:t>
      </w:r>
      <w:r w:rsidR="00B83373" w:rsidRPr="003755B6">
        <w:rPr>
          <w:rFonts w:ascii="Arial" w:hAnsi="Arial" w:cs="Arial"/>
          <w:sz w:val="24"/>
          <w:szCs w:val="24"/>
        </w:rPr>
        <w:t>s</w:t>
      </w:r>
      <w:r w:rsidRPr="003755B6">
        <w:rPr>
          <w:rFonts w:ascii="Arial" w:hAnsi="Arial" w:cs="Arial"/>
          <w:sz w:val="24"/>
          <w:szCs w:val="24"/>
        </w:rPr>
        <w:t xml:space="preserve"> show a further increase to </w:t>
      </w:r>
      <w:r w:rsidRPr="003755B6">
        <w:rPr>
          <w:rFonts w:ascii="Arial" w:hAnsi="Arial" w:cs="Arial"/>
          <w:bCs/>
          <w:sz w:val="24"/>
          <w:szCs w:val="24"/>
        </w:rPr>
        <w:t>24</w:t>
      </w:r>
      <w:r w:rsidR="00B83373" w:rsidRPr="003755B6">
        <w:rPr>
          <w:rFonts w:ascii="Arial" w:hAnsi="Arial" w:cs="Arial"/>
          <w:bCs/>
          <w:sz w:val="24"/>
          <w:szCs w:val="24"/>
        </w:rPr>
        <w:t>8</w:t>
      </w:r>
      <w:r w:rsidRPr="003755B6">
        <w:rPr>
          <w:rFonts w:ascii="Arial" w:hAnsi="Arial" w:cs="Arial"/>
          <w:bCs/>
          <w:sz w:val="24"/>
          <w:szCs w:val="24"/>
        </w:rPr>
        <w:t>,</w:t>
      </w:r>
      <w:r w:rsidR="00B83373" w:rsidRPr="003755B6">
        <w:rPr>
          <w:rFonts w:ascii="Arial" w:hAnsi="Arial" w:cs="Arial"/>
          <w:bCs/>
          <w:sz w:val="24"/>
          <w:szCs w:val="24"/>
        </w:rPr>
        <w:t>697</w:t>
      </w:r>
      <w:r w:rsidRPr="003755B6">
        <w:rPr>
          <w:rFonts w:ascii="Arial" w:hAnsi="Arial" w:cs="Arial"/>
          <w:sz w:val="24"/>
          <w:szCs w:val="24"/>
        </w:rPr>
        <w:t>.  Harrow’s population is now at the highest recorded level, based on records going back to 1901.</w:t>
      </w:r>
      <w:r w:rsidRPr="003755B6">
        <w:rPr>
          <w:rFonts w:ascii="Arial" w:hAnsi="Arial" w:cs="Arial"/>
          <w:bCs/>
          <w:sz w:val="24"/>
          <w:szCs w:val="24"/>
        </w:rPr>
        <w:t xml:space="preserve">  </w:t>
      </w:r>
      <w:r w:rsidRPr="003755B6">
        <w:rPr>
          <w:rFonts w:ascii="Arial" w:hAnsi="Arial" w:cs="Arial"/>
          <w:sz w:val="24"/>
          <w:szCs w:val="24"/>
        </w:rPr>
        <w:t>The 0-4 age group has increased by 5,</w:t>
      </w:r>
      <w:r w:rsidR="00B83373" w:rsidRPr="003755B6">
        <w:rPr>
          <w:rFonts w:ascii="Arial" w:hAnsi="Arial" w:cs="Arial"/>
          <w:sz w:val="24"/>
          <w:szCs w:val="24"/>
        </w:rPr>
        <w:t>877</w:t>
      </w:r>
      <w:r w:rsidRPr="003755B6">
        <w:rPr>
          <w:rFonts w:ascii="Arial" w:hAnsi="Arial" w:cs="Arial"/>
          <w:sz w:val="24"/>
          <w:szCs w:val="24"/>
        </w:rPr>
        <w:t xml:space="preserve"> between mid- 2001 (12,058) and mid-201</w:t>
      </w:r>
      <w:r w:rsidR="00B83373" w:rsidRPr="003755B6">
        <w:rPr>
          <w:rFonts w:ascii="Arial" w:hAnsi="Arial" w:cs="Arial"/>
          <w:sz w:val="24"/>
          <w:szCs w:val="24"/>
        </w:rPr>
        <w:t>6</w:t>
      </w:r>
      <w:r w:rsidRPr="003755B6">
        <w:rPr>
          <w:rFonts w:ascii="Arial" w:hAnsi="Arial" w:cs="Arial"/>
          <w:sz w:val="24"/>
          <w:szCs w:val="24"/>
        </w:rPr>
        <w:t xml:space="preserve"> (17,</w:t>
      </w:r>
      <w:r w:rsidR="00B83373" w:rsidRPr="003755B6">
        <w:rPr>
          <w:rFonts w:ascii="Arial" w:hAnsi="Arial" w:cs="Arial"/>
          <w:sz w:val="24"/>
          <w:szCs w:val="24"/>
        </w:rPr>
        <w:t>935</w:t>
      </w:r>
      <w:r w:rsidRPr="003755B6">
        <w:rPr>
          <w:rFonts w:ascii="Arial" w:hAnsi="Arial" w:cs="Arial"/>
          <w:sz w:val="24"/>
          <w:szCs w:val="24"/>
        </w:rPr>
        <w:t>), which represents a 4</w:t>
      </w:r>
      <w:r w:rsidR="00B83373" w:rsidRPr="003755B6">
        <w:rPr>
          <w:rFonts w:ascii="Arial" w:hAnsi="Arial" w:cs="Arial"/>
          <w:sz w:val="24"/>
          <w:szCs w:val="24"/>
        </w:rPr>
        <w:t>8.7</w:t>
      </w:r>
      <w:r w:rsidRPr="003755B6">
        <w:rPr>
          <w:rFonts w:ascii="Arial" w:hAnsi="Arial" w:cs="Arial"/>
          <w:sz w:val="24"/>
          <w:szCs w:val="24"/>
        </w:rPr>
        <w:t>% increase.  There have also been increases across all the statutory school age groups.</w:t>
      </w:r>
    </w:p>
    <w:p w14:paraId="5D290B18" w14:textId="77777777" w:rsidR="0063656B" w:rsidRPr="003755B6" w:rsidRDefault="0063656B" w:rsidP="0063656B">
      <w:pPr>
        <w:autoSpaceDE w:val="0"/>
        <w:autoSpaceDN w:val="0"/>
        <w:adjustRightInd w:val="0"/>
        <w:rPr>
          <w:rFonts w:ascii="Arial" w:hAnsi="Arial" w:cs="Arial"/>
          <w:sz w:val="24"/>
          <w:szCs w:val="24"/>
        </w:rPr>
      </w:pPr>
      <w:r w:rsidRPr="003755B6">
        <w:rPr>
          <w:rFonts w:ascii="Arial" w:hAnsi="Arial" w:cs="Arial"/>
          <w:sz w:val="24"/>
          <w:szCs w:val="24"/>
        </w:rPr>
        <w:t>The 2011 Census showed that Harrow’s residents were born in approximately 200 different countries and the percentage of Harrow’s residents born in the UK is the 6</w:t>
      </w:r>
      <w:r w:rsidRPr="003755B6">
        <w:rPr>
          <w:rFonts w:ascii="Arial" w:hAnsi="Arial" w:cs="Arial"/>
          <w:sz w:val="24"/>
          <w:szCs w:val="24"/>
          <w:vertAlign w:val="superscript"/>
        </w:rPr>
        <w:t>th</w:t>
      </w:r>
      <w:r w:rsidRPr="003755B6">
        <w:rPr>
          <w:rFonts w:ascii="Arial" w:hAnsi="Arial" w:cs="Arial"/>
          <w:sz w:val="24"/>
          <w:szCs w:val="24"/>
        </w:rPr>
        <w:t xml:space="preserve"> lowest ranking nationally.  Harrow is ranked 7</w:t>
      </w:r>
      <w:r w:rsidRPr="003755B6">
        <w:rPr>
          <w:rFonts w:ascii="Arial" w:hAnsi="Arial" w:cs="Arial"/>
          <w:sz w:val="24"/>
          <w:szCs w:val="24"/>
          <w:vertAlign w:val="superscript"/>
        </w:rPr>
        <w:t>th</w:t>
      </w:r>
      <w:r w:rsidRPr="003755B6">
        <w:rPr>
          <w:rFonts w:ascii="Arial" w:hAnsi="Arial" w:cs="Arial"/>
          <w:sz w:val="24"/>
          <w:szCs w:val="24"/>
        </w:rPr>
        <w:t xml:space="preserve"> nationally (and in London) for ethnic diversity and 2</w:t>
      </w:r>
      <w:r w:rsidRPr="003755B6">
        <w:rPr>
          <w:rFonts w:ascii="Arial" w:hAnsi="Arial" w:cs="Arial"/>
          <w:sz w:val="24"/>
          <w:szCs w:val="24"/>
          <w:vertAlign w:val="superscript"/>
        </w:rPr>
        <w:t>nd</w:t>
      </w:r>
      <w:r w:rsidRPr="003755B6">
        <w:rPr>
          <w:rFonts w:ascii="Arial" w:hAnsi="Arial" w:cs="Arial"/>
          <w:sz w:val="24"/>
          <w:szCs w:val="24"/>
        </w:rPr>
        <w:t xml:space="preserve"> for religious diversity in London.</w:t>
      </w:r>
    </w:p>
    <w:p w14:paraId="5D290B19" w14:textId="1170B93C" w:rsidR="00B9219E" w:rsidRPr="003755B6" w:rsidRDefault="00CD419C" w:rsidP="00B9219E">
      <w:pPr>
        <w:rPr>
          <w:rFonts w:ascii="Arial" w:hAnsi="Arial" w:cs="Arial"/>
          <w:b/>
          <w:sz w:val="24"/>
          <w:szCs w:val="24"/>
        </w:rPr>
      </w:pPr>
      <w:r w:rsidRPr="003755B6">
        <w:rPr>
          <w:rFonts w:ascii="Arial" w:hAnsi="Arial" w:cs="Arial"/>
          <w:b/>
          <w:sz w:val="24"/>
          <w:szCs w:val="24"/>
        </w:rPr>
        <w:t xml:space="preserve">ONS </w:t>
      </w:r>
      <w:r w:rsidR="00B9219E" w:rsidRPr="003755B6">
        <w:rPr>
          <w:rFonts w:ascii="Arial" w:hAnsi="Arial" w:cs="Arial"/>
          <w:b/>
          <w:sz w:val="24"/>
          <w:szCs w:val="24"/>
        </w:rPr>
        <w:t>Population Projections</w:t>
      </w:r>
      <w:r w:rsidRPr="003755B6">
        <w:rPr>
          <w:rFonts w:ascii="Arial" w:hAnsi="Arial" w:cs="Arial"/>
          <w:b/>
          <w:sz w:val="24"/>
          <w:szCs w:val="24"/>
        </w:rPr>
        <w:t xml:space="preserve"> and Estimates</w:t>
      </w:r>
    </w:p>
    <w:p w14:paraId="61E75871" w14:textId="77777777" w:rsidR="001300C5" w:rsidRPr="003755B6" w:rsidRDefault="001300C5" w:rsidP="001300C5">
      <w:pPr>
        <w:rPr>
          <w:rFonts w:ascii="Arial" w:hAnsi="Arial" w:cs="Arial"/>
          <w:sz w:val="24"/>
          <w:szCs w:val="24"/>
        </w:rPr>
      </w:pPr>
      <w:r w:rsidRPr="003755B6">
        <w:rPr>
          <w:rFonts w:ascii="Arial" w:hAnsi="Arial" w:cs="Arial"/>
          <w:sz w:val="24"/>
          <w:szCs w:val="24"/>
        </w:rPr>
        <w:t>Population Estimates (MYE) are the official source of estimated population size in between the censuses and inform a wide range of national statistics.</w:t>
      </w:r>
    </w:p>
    <w:p w14:paraId="43D5174A" w14:textId="77777777" w:rsidR="001300C5" w:rsidRPr="003755B6" w:rsidRDefault="001300C5" w:rsidP="001300C5">
      <w:pPr>
        <w:rPr>
          <w:rFonts w:ascii="Arial" w:hAnsi="Arial" w:cs="Arial"/>
          <w:sz w:val="24"/>
          <w:szCs w:val="24"/>
        </w:rPr>
      </w:pPr>
      <w:r w:rsidRPr="003755B6">
        <w:rPr>
          <w:rFonts w:ascii="Arial" w:hAnsi="Arial" w:cs="Arial"/>
          <w:sz w:val="24"/>
          <w:szCs w:val="24"/>
        </w:rPr>
        <w:t>Population Projections (SNPP) provide statistics on potential future size and age structure of the population.  They are based on past trends and assumptions of future levels of births, deaths and migration.  They do not incorporate local development plans but instead provide a baseline, which can be combined with local knowledge.</w:t>
      </w:r>
    </w:p>
    <w:p w14:paraId="5D290B1A" w14:textId="3EF122E9" w:rsidR="00B9219E" w:rsidRPr="003755B6" w:rsidRDefault="00B9219E" w:rsidP="001300C5">
      <w:pPr>
        <w:rPr>
          <w:rFonts w:ascii="Arial" w:hAnsi="Arial" w:cs="Arial"/>
          <w:sz w:val="24"/>
          <w:szCs w:val="24"/>
        </w:rPr>
      </w:pPr>
      <w:r w:rsidRPr="003755B6">
        <w:rPr>
          <w:rFonts w:ascii="Arial" w:hAnsi="Arial" w:cs="Arial"/>
          <w:sz w:val="24"/>
          <w:szCs w:val="24"/>
        </w:rPr>
        <w:t xml:space="preserve">The ONS’s Sub-National Population Projections project what the population of every local authority will look like over the next 25 years. It should be noted that all population projections </w:t>
      </w:r>
      <w:r w:rsidRPr="003755B6">
        <w:rPr>
          <w:rFonts w:ascii="Arial" w:hAnsi="Arial" w:cs="Arial"/>
          <w:sz w:val="24"/>
          <w:szCs w:val="24"/>
        </w:rPr>
        <w:lastRenderedPageBreak/>
        <w:t>become</w:t>
      </w:r>
      <w:r w:rsidRPr="003755B6">
        <w:rPr>
          <w:rFonts w:ascii="Arial" w:hAnsi="Arial" w:cs="Arial"/>
          <w:sz w:val="24"/>
          <w:szCs w:val="24"/>
          <w:lang w:val="en-US"/>
        </w:rPr>
        <w:t xml:space="preserve"> increasingly uncertain the further they are carried forward due to the inherent uncertainty of demographic </w:t>
      </w:r>
      <w:r w:rsidRPr="003755B6">
        <w:rPr>
          <w:rFonts w:ascii="Arial" w:hAnsi="Arial" w:cs="Arial"/>
          <w:sz w:val="24"/>
          <w:szCs w:val="24"/>
        </w:rPr>
        <w:t>behaviour</w:t>
      </w:r>
      <w:r w:rsidRPr="003755B6">
        <w:rPr>
          <w:rFonts w:ascii="Arial" w:hAnsi="Arial" w:cs="Arial"/>
          <w:sz w:val="24"/>
          <w:szCs w:val="24"/>
          <w:lang w:val="en-US"/>
        </w:rPr>
        <w:t>.</w:t>
      </w:r>
    </w:p>
    <w:p w14:paraId="5D290B1B" w14:textId="10F03618" w:rsidR="00B9219E" w:rsidRPr="003755B6" w:rsidRDefault="00B9219E" w:rsidP="00B9219E">
      <w:pPr>
        <w:rPr>
          <w:rFonts w:ascii="Arial" w:hAnsi="Arial" w:cs="Arial"/>
          <w:sz w:val="24"/>
          <w:szCs w:val="24"/>
        </w:rPr>
      </w:pPr>
      <w:r w:rsidRPr="003755B6">
        <w:rPr>
          <w:rFonts w:ascii="Arial" w:eastAsia="Batang" w:hAnsi="Arial" w:cs="Arial"/>
          <w:sz w:val="24"/>
          <w:szCs w:val="24"/>
          <w:lang w:val="en-US" w:eastAsia="ko-KR"/>
        </w:rPr>
        <w:t xml:space="preserve">The </w:t>
      </w:r>
      <w:r w:rsidR="00C254E9" w:rsidRPr="003755B6">
        <w:rPr>
          <w:rFonts w:ascii="Arial" w:eastAsia="Batang" w:hAnsi="Arial" w:cs="Arial"/>
          <w:sz w:val="24"/>
          <w:szCs w:val="24"/>
          <w:lang w:val="en-US" w:eastAsia="ko-KR"/>
        </w:rPr>
        <w:t>201</w:t>
      </w:r>
      <w:r w:rsidR="00A95000" w:rsidRPr="003755B6">
        <w:rPr>
          <w:rFonts w:ascii="Arial" w:eastAsia="Batang" w:hAnsi="Arial" w:cs="Arial"/>
          <w:sz w:val="24"/>
          <w:szCs w:val="24"/>
          <w:lang w:val="en-US" w:eastAsia="ko-KR"/>
        </w:rPr>
        <w:t>8</w:t>
      </w:r>
      <w:r w:rsidRPr="003755B6">
        <w:rPr>
          <w:rFonts w:ascii="Arial" w:eastAsia="Batang" w:hAnsi="Arial" w:cs="Arial"/>
          <w:sz w:val="24"/>
          <w:szCs w:val="24"/>
          <w:lang w:val="en-US" w:eastAsia="ko-KR"/>
        </w:rPr>
        <w:t>-based SNPPs take the 201</w:t>
      </w:r>
      <w:r w:rsidR="00A95000" w:rsidRPr="003755B6">
        <w:rPr>
          <w:rFonts w:ascii="Arial" w:eastAsia="Batang" w:hAnsi="Arial" w:cs="Arial"/>
          <w:sz w:val="24"/>
          <w:szCs w:val="24"/>
          <w:lang w:val="en-US" w:eastAsia="ko-KR"/>
        </w:rPr>
        <w:t>8</w:t>
      </w:r>
      <w:r w:rsidRPr="003755B6">
        <w:rPr>
          <w:rFonts w:ascii="Arial" w:eastAsia="Batang" w:hAnsi="Arial" w:cs="Arial"/>
          <w:sz w:val="24"/>
          <w:szCs w:val="24"/>
          <w:lang w:val="en-US" w:eastAsia="ko-KR"/>
        </w:rPr>
        <w:t xml:space="preserve"> Mid-Year Estimates (MYEs) as their starting point, then: the population is projected forward a year at a time to 20</w:t>
      </w:r>
      <w:r w:rsidR="00C254E9" w:rsidRPr="003755B6">
        <w:rPr>
          <w:rFonts w:ascii="Arial" w:eastAsia="Batang" w:hAnsi="Arial" w:cs="Arial"/>
          <w:sz w:val="24"/>
          <w:szCs w:val="24"/>
          <w:lang w:val="en-US" w:eastAsia="ko-KR"/>
        </w:rPr>
        <w:t>41</w:t>
      </w:r>
      <w:r w:rsidRPr="003755B6">
        <w:rPr>
          <w:rFonts w:ascii="Arial" w:eastAsia="Batang" w:hAnsi="Arial" w:cs="Arial"/>
          <w:sz w:val="24"/>
          <w:szCs w:val="24"/>
          <w:lang w:val="en-US" w:eastAsia="ko-KR"/>
        </w:rPr>
        <w:t xml:space="preserve">; the population is aged on from the previous year; the projected number of births and deaths are added; and adjustments for net migration are included. Births, deaths and migration are based on the trends observed in each local authority over the period </w:t>
      </w:r>
      <w:r w:rsidR="00C254E9" w:rsidRPr="003755B6">
        <w:rPr>
          <w:rFonts w:ascii="Arial" w:eastAsia="Batang" w:hAnsi="Arial" w:cs="Arial"/>
          <w:sz w:val="24"/>
          <w:szCs w:val="24"/>
          <w:lang w:val="en-US" w:eastAsia="ko-KR"/>
        </w:rPr>
        <w:t>mid-</w:t>
      </w:r>
      <w:r w:rsidRPr="003755B6">
        <w:rPr>
          <w:rFonts w:ascii="Arial" w:eastAsia="Batang" w:hAnsi="Arial" w:cs="Arial"/>
          <w:sz w:val="24"/>
          <w:szCs w:val="24"/>
          <w:lang w:val="en-US" w:eastAsia="ko-KR"/>
        </w:rPr>
        <w:t>20</w:t>
      </w:r>
      <w:r w:rsidR="00C254E9" w:rsidRPr="003755B6">
        <w:rPr>
          <w:rFonts w:ascii="Arial" w:eastAsia="Batang" w:hAnsi="Arial" w:cs="Arial"/>
          <w:sz w:val="24"/>
          <w:szCs w:val="24"/>
          <w:lang w:val="en-US" w:eastAsia="ko-KR"/>
        </w:rPr>
        <w:t>11</w:t>
      </w:r>
      <w:r w:rsidRPr="003755B6">
        <w:rPr>
          <w:rFonts w:ascii="Arial" w:eastAsia="Batang" w:hAnsi="Arial" w:cs="Arial"/>
          <w:sz w:val="24"/>
          <w:szCs w:val="24"/>
          <w:lang w:val="en-US" w:eastAsia="ko-KR"/>
        </w:rPr>
        <w:t xml:space="preserve"> to 2014. </w:t>
      </w:r>
      <w:proofErr w:type="gramStart"/>
      <w:r w:rsidRPr="003755B6">
        <w:rPr>
          <w:rFonts w:ascii="Arial" w:eastAsia="Batang" w:hAnsi="Arial" w:cs="Arial"/>
          <w:sz w:val="24"/>
          <w:szCs w:val="24"/>
          <w:lang w:val="en-US" w:eastAsia="ko-KR"/>
        </w:rPr>
        <w:t>Finally</w:t>
      </w:r>
      <w:proofErr w:type="gramEnd"/>
      <w:r w:rsidRPr="003755B6">
        <w:rPr>
          <w:rFonts w:ascii="Arial" w:eastAsia="Batang" w:hAnsi="Arial" w:cs="Arial"/>
          <w:sz w:val="24"/>
          <w:szCs w:val="24"/>
          <w:lang w:val="en-US" w:eastAsia="ko-KR"/>
        </w:rPr>
        <w:t xml:space="preserve"> the SNPPs are constrained to be consistent with the national projections for England.</w:t>
      </w:r>
      <w:r w:rsidR="00A978B5" w:rsidRPr="003755B6">
        <w:rPr>
          <w:rFonts w:ascii="Arial" w:hAnsi="Arial" w:cs="Arial"/>
          <w:sz w:val="24"/>
          <w:szCs w:val="24"/>
        </w:rPr>
        <w:t xml:space="preserve"> </w:t>
      </w:r>
    </w:p>
    <w:p w14:paraId="5D290B3B" w14:textId="2F608A34" w:rsidR="00BD0C54" w:rsidRPr="003755B6" w:rsidRDefault="00BD0C54" w:rsidP="00382E95">
      <w:pPr>
        <w:autoSpaceDE w:val="0"/>
        <w:autoSpaceDN w:val="0"/>
        <w:adjustRightInd w:val="0"/>
        <w:spacing w:after="0" w:line="240" w:lineRule="auto"/>
        <w:rPr>
          <w:rFonts w:ascii="Arial" w:hAnsi="Arial" w:cs="Arial"/>
          <w:noProof/>
          <w:sz w:val="24"/>
          <w:szCs w:val="24"/>
          <w:lang w:eastAsia="en-GB"/>
        </w:rPr>
      </w:pPr>
      <w:r w:rsidRPr="003755B6">
        <w:rPr>
          <w:rFonts w:ascii="Arial" w:hAnsi="Arial" w:cs="Arial"/>
          <w:b/>
          <w:sz w:val="24"/>
          <w:szCs w:val="24"/>
          <w:lang w:eastAsia="en-GB"/>
        </w:rPr>
        <w:t>GLA Borough Preferred Option Results</w:t>
      </w:r>
      <w:r w:rsidR="00CD419C" w:rsidRPr="003755B6">
        <w:rPr>
          <w:rFonts w:ascii="Arial" w:hAnsi="Arial" w:cs="Arial"/>
          <w:b/>
          <w:sz w:val="24"/>
          <w:szCs w:val="24"/>
          <w:lang w:eastAsia="en-GB"/>
        </w:rPr>
        <w:t xml:space="preserve"> for Harrow</w:t>
      </w:r>
    </w:p>
    <w:p w14:paraId="29E32C92" w14:textId="77777777" w:rsidR="00382E95" w:rsidRPr="003755B6" w:rsidRDefault="00382E95" w:rsidP="00F446CA">
      <w:pPr>
        <w:autoSpaceDE w:val="0"/>
        <w:autoSpaceDN w:val="0"/>
        <w:adjustRightInd w:val="0"/>
        <w:spacing w:after="0"/>
        <w:rPr>
          <w:rFonts w:ascii="Arial" w:hAnsi="Arial" w:cs="Arial"/>
          <w:b/>
          <w:noProof/>
          <w:sz w:val="24"/>
          <w:szCs w:val="24"/>
          <w:lang w:eastAsia="en-GB"/>
        </w:rPr>
      </w:pPr>
    </w:p>
    <w:p w14:paraId="5D290B3C" w14:textId="77777777" w:rsidR="00BD0C54" w:rsidRPr="003755B6" w:rsidRDefault="00BD0C54" w:rsidP="00F446CA">
      <w:pPr>
        <w:autoSpaceDE w:val="0"/>
        <w:autoSpaceDN w:val="0"/>
        <w:adjustRightInd w:val="0"/>
        <w:spacing w:after="0"/>
        <w:rPr>
          <w:rFonts w:ascii="Arial" w:hAnsi="Arial" w:cs="Arial"/>
          <w:b/>
          <w:noProof/>
          <w:sz w:val="24"/>
          <w:szCs w:val="24"/>
          <w:lang w:eastAsia="en-GB"/>
        </w:rPr>
      </w:pPr>
      <w:r w:rsidRPr="003755B6">
        <w:rPr>
          <w:rFonts w:ascii="Arial" w:hAnsi="Arial" w:cs="Arial"/>
          <w:b/>
          <w:noProof/>
          <w:sz w:val="24"/>
          <w:szCs w:val="24"/>
          <w:lang w:eastAsia="en-GB"/>
        </w:rPr>
        <w:t>Population Change</w:t>
      </w:r>
    </w:p>
    <w:p w14:paraId="5D290B3D" w14:textId="49151240" w:rsidR="00BD0C54" w:rsidRPr="003755B6" w:rsidRDefault="00BD0C54" w:rsidP="00F446CA">
      <w:pPr>
        <w:autoSpaceDE w:val="0"/>
        <w:autoSpaceDN w:val="0"/>
        <w:adjustRightInd w:val="0"/>
        <w:spacing w:after="0"/>
        <w:rPr>
          <w:rFonts w:ascii="Arial" w:hAnsi="Arial" w:cs="Arial"/>
          <w:sz w:val="24"/>
          <w:szCs w:val="24"/>
          <w:lang w:eastAsia="en-GB"/>
        </w:rPr>
      </w:pPr>
      <w:r w:rsidRPr="003755B6">
        <w:rPr>
          <w:rFonts w:ascii="Arial" w:hAnsi="Arial" w:cs="Arial"/>
          <w:sz w:val="24"/>
          <w:szCs w:val="24"/>
          <w:lang w:eastAsia="en-GB"/>
        </w:rPr>
        <w:t xml:space="preserve">The population of Harrow is estimated to have grown by </w:t>
      </w:r>
      <w:r w:rsidR="000F1E18" w:rsidRPr="003755B6">
        <w:rPr>
          <w:rFonts w:ascii="Arial" w:hAnsi="Arial" w:cs="Arial"/>
          <w:sz w:val="24"/>
          <w:szCs w:val="24"/>
          <w:lang w:eastAsia="en-GB"/>
        </w:rPr>
        <w:t>10,661</w:t>
      </w:r>
      <w:r w:rsidRPr="003755B6">
        <w:rPr>
          <w:rFonts w:ascii="Arial" w:hAnsi="Arial" w:cs="Arial"/>
          <w:sz w:val="24"/>
          <w:szCs w:val="24"/>
          <w:lang w:eastAsia="en-GB"/>
        </w:rPr>
        <w:t xml:space="preserve"> persons (</w:t>
      </w:r>
      <w:r w:rsidR="000F1E18" w:rsidRPr="003755B6">
        <w:rPr>
          <w:rFonts w:ascii="Arial" w:hAnsi="Arial" w:cs="Arial"/>
          <w:sz w:val="24"/>
          <w:szCs w:val="24"/>
          <w:lang w:eastAsia="en-GB"/>
        </w:rPr>
        <w:t>4.4</w:t>
      </w:r>
      <w:r w:rsidRPr="003755B6">
        <w:rPr>
          <w:rFonts w:ascii="Arial" w:hAnsi="Arial" w:cs="Arial"/>
          <w:sz w:val="24"/>
          <w:szCs w:val="24"/>
          <w:lang w:eastAsia="en-GB"/>
        </w:rPr>
        <w:t xml:space="preserve"> percent) between</w:t>
      </w:r>
    </w:p>
    <w:p w14:paraId="5D290B3E" w14:textId="43E73DBF" w:rsidR="00BD0C54" w:rsidRPr="003755B6" w:rsidRDefault="00BD0C54" w:rsidP="00F446CA">
      <w:pPr>
        <w:autoSpaceDE w:val="0"/>
        <w:autoSpaceDN w:val="0"/>
        <w:adjustRightInd w:val="0"/>
        <w:spacing w:after="0"/>
        <w:rPr>
          <w:rFonts w:ascii="Arial" w:hAnsi="Arial" w:cs="Arial"/>
          <w:sz w:val="24"/>
          <w:szCs w:val="24"/>
          <w:lang w:eastAsia="en-GB"/>
        </w:rPr>
      </w:pPr>
      <w:r w:rsidRPr="003755B6">
        <w:rPr>
          <w:rFonts w:ascii="Arial" w:hAnsi="Arial" w:cs="Arial"/>
          <w:sz w:val="24"/>
          <w:szCs w:val="24"/>
          <w:lang w:eastAsia="en-GB"/>
        </w:rPr>
        <w:t>2011 and 201</w:t>
      </w:r>
      <w:r w:rsidR="000F1E18" w:rsidRPr="003755B6">
        <w:rPr>
          <w:rFonts w:ascii="Arial" w:hAnsi="Arial" w:cs="Arial"/>
          <w:sz w:val="24"/>
          <w:szCs w:val="24"/>
          <w:lang w:eastAsia="en-GB"/>
        </w:rPr>
        <w:t>9</w:t>
      </w:r>
      <w:r w:rsidRPr="003755B6">
        <w:rPr>
          <w:rFonts w:ascii="Arial" w:hAnsi="Arial" w:cs="Arial"/>
          <w:sz w:val="24"/>
          <w:szCs w:val="24"/>
          <w:lang w:eastAsia="en-GB"/>
        </w:rPr>
        <w:t>. Over the decade to 202</w:t>
      </w:r>
      <w:r w:rsidR="00400E4E" w:rsidRPr="003755B6">
        <w:rPr>
          <w:rFonts w:ascii="Arial" w:hAnsi="Arial" w:cs="Arial"/>
          <w:sz w:val="24"/>
          <w:szCs w:val="24"/>
          <w:lang w:eastAsia="en-GB"/>
        </w:rPr>
        <w:t>9</w:t>
      </w:r>
      <w:r w:rsidRPr="003755B6">
        <w:rPr>
          <w:rFonts w:ascii="Arial" w:hAnsi="Arial" w:cs="Arial"/>
          <w:sz w:val="24"/>
          <w:szCs w:val="24"/>
          <w:lang w:eastAsia="en-GB"/>
        </w:rPr>
        <w:t xml:space="preserve"> the population is projected to grow by </w:t>
      </w:r>
      <w:r w:rsidR="004C1779" w:rsidRPr="003755B6">
        <w:rPr>
          <w:rFonts w:ascii="Arial" w:hAnsi="Arial" w:cs="Arial"/>
          <w:sz w:val="24"/>
          <w:szCs w:val="24"/>
          <w:lang w:eastAsia="en-GB"/>
        </w:rPr>
        <w:t>14,6161</w:t>
      </w:r>
      <w:r w:rsidRPr="003755B6">
        <w:rPr>
          <w:rFonts w:ascii="Arial" w:hAnsi="Arial" w:cs="Arial"/>
          <w:sz w:val="24"/>
          <w:szCs w:val="24"/>
          <w:lang w:eastAsia="en-GB"/>
        </w:rPr>
        <w:t xml:space="preserve"> persons</w:t>
      </w:r>
    </w:p>
    <w:p w14:paraId="5D290B3F" w14:textId="1B5FD553" w:rsidR="00BD0C54" w:rsidRPr="003755B6" w:rsidRDefault="00BD0C54" w:rsidP="00F446CA">
      <w:pPr>
        <w:autoSpaceDE w:val="0"/>
        <w:autoSpaceDN w:val="0"/>
        <w:adjustRightInd w:val="0"/>
        <w:spacing w:after="0"/>
        <w:rPr>
          <w:rFonts w:ascii="Arial" w:hAnsi="Arial" w:cs="Arial"/>
          <w:sz w:val="24"/>
          <w:szCs w:val="24"/>
          <w:lang w:eastAsia="en-GB"/>
        </w:rPr>
      </w:pPr>
      <w:r w:rsidRPr="003755B6">
        <w:rPr>
          <w:rFonts w:ascii="Arial" w:hAnsi="Arial" w:cs="Arial"/>
          <w:sz w:val="24"/>
          <w:szCs w:val="24"/>
          <w:lang w:eastAsia="en-GB"/>
        </w:rPr>
        <w:t>(</w:t>
      </w:r>
      <w:r w:rsidR="004C1779" w:rsidRPr="003755B6">
        <w:rPr>
          <w:rFonts w:ascii="Arial" w:hAnsi="Arial" w:cs="Arial"/>
          <w:sz w:val="24"/>
          <w:szCs w:val="24"/>
          <w:lang w:eastAsia="en-GB"/>
        </w:rPr>
        <w:t>5.8</w:t>
      </w:r>
      <w:r w:rsidRPr="003755B6">
        <w:rPr>
          <w:rFonts w:ascii="Arial" w:hAnsi="Arial" w:cs="Arial"/>
          <w:sz w:val="24"/>
          <w:szCs w:val="24"/>
          <w:lang w:eastAsia="en-GB"/>
        </w:rPr>
        <w:t xml:space="preserve"> percent). By 2041 the population is projected to reach 2</w:t>
      </w:r>
      <w:r w:rsidR="00115E4F" w:rsidRPr="003755B6">
        <w:rPr>
          <w:rFonts w:ascii="Arial" w:hAnsi="Arial" w:cs="Arial"/>
          <w:sz w:val="24"/>
          <w:szCs w:val="24"/>
          <w:lang w:eastAsia="en-GB"/>
        </w:rPr>
        <w:t>7</w:t>
      </w:r>
      <w:r w:rsidR="00FC7936" w:rsidRPr="003755B6">
        <w:rPr>
          <w:rFonts w:ascii="Arial" w:hAnsi="Arial" w:cs="Arial"/>
          <w:sz w:val="24"/>
          <w:szCs w:val="24"/>
          <w:lang w:eastAsia="en-GB"/>
        </w:rPr>
        <w:t>2,536</w:t>
      </w:r>
      <w:r w:rsidRPr="003755B6">
        <w:rPr>
          <w:rFonts w:ascii="Arial" w:hAnsi="Arial" w:cs="Arial"/>
          <w:sz w:val="24"/>
          <w:szCs w:val="24"/>
          <w:lang w:eastAsia="en-GB"/>
        </w:rPr>
        <w:t xml:space="preserve"> persons, a </w:t>
      </w:r>
      <w:r w:rsidR="00115E4F" w:rsidRPr="003755B6">
        <w:rPr>
          <w:rFonts w:ascii="Arial" w:hAnsi="Arial" w:cs="Arial"/>
          <w:sz w:val="24"/>
          <w:szCs w:val="24"/>
          <w:lang w:eastAsia="en-GB"/>
        </w:rPr>
        <w:t>1</w:t>
      </w:r>
      <w:r w:rsidR="001D6F88" w:rsidRPr="003755B6">
        <w:rPr>
          <w:rFonts w:ascii="Arial" w:hAnsi="Arial" w:cs="Arial"/>
          <w:sz w:val="24"/>
          <w:szCs w:val="24"/>
          <w:lang w:eastAsia="en-GB"/>
        </w:rPr>
        <w:t>3.3</w:t>
      </w:r>
      <w:r w:rsidRPr="003755B6">
        <w:rPr>
          <w:rFonts w:ascii="Arial" w:hAnsi="Arial" w:cs="Arial"/>
          <w:sz w:val="24"/>
          <w:szCs w:val="24"/>
          <w:lang w:eastAsia="en-GB"/>
        </w:rPr>
        <w:t xml:space="preserve"> percent</w:t>
      </w:r>
    </w:p>
    <w:p w14:paraId="5D290B41" w14:textId="07788506" w:rsidR="00BD0C54" w:rsidRPr="003755B6" w:rsidRDefault="00BD0C54" w:rsidP="00A95A97">
      <w:pPr>
        <w:autoSpaceDE w:val="0"/>
        <w:autoSpaceDN w:val="0"/>
        <w:adjustRightInd w:val="0"/>
        <w:spacing w:after="0"/>
        <w:rPr>
          <w:rFonts w:ascii="Arial" w:hAnsi="Arial" w:cs="Arial"/>
          <w:color w:val="FF0000"/>
          <w:sz w:val="24"/>
          <w:szCs w:val="24"/>
          <w:lang w:eastAsia="en-GB"/>
        </w:rPr>
      </w:pPr>
      <w:r w:rsidRPr="003755B6">
        <w:rPr>
          <w:rFonts w:ascii="Arial" w:hAnsi="Arial" w:cs="Arial"/>
          <w:sz w:val="24"/>
          <w:szCs w:val="24"/>
          <w:lang w:eastAsia="en-GB"/>
        </w:rPr>
        <w:t>increase on the 2011 population.</w:t>
      </w:r>
    </w:p>
    <w:p w14:paraId="5D290B42" w14:textId="77777777" w:rsidR="009B2BD3" w:rsidRPr="003755B6" w:rsidRDefault="009B2BD3" w:rsidP="009B2BD3">
      <w:pPr>
        <w:autoSpaceDE w:val="0"/>
        <w:autoSpaceDN w:val="0"/>
        <w:adjustRightInd w:val="0"/>
        <w:spacing w:after="0"/>
        <w:rPr>
          <w:rFonts w:ascii="Arial" w:hAnsi="Arial" w:cs="Arial"/>
          <w:sz w:val="24"/>
          <w:szCs w:val="24"/>
          <w:lang w:eastAsia="en-GB"/>
        </w:rPr>
      </w:pPr>
    </w:p>
    <w:p w14:paraId="5D290B43" w14:textId="4342384B" w:rsidR="009B2BD3" w:rsidRPr="003755B6" w:rsidRDefault="009B2BD3" w:rsidP="009B2BD3">
      <w:pPr>
        <w:autoSpaceDE w:val="0"/>
        <w:autoSpaceDN w:val="0"/>
        <w:adjustRightInd w:val="0"/>
        <w:spacing w:after="0"/>
        <w:rPr>
          <w:rFonts w:ascii="Arial" w:hAnsi="Arial" w:cs="Arial"/>
          <w:noProof/>
          <w:sz w:val="24"/>
          <w:szCs w:val="24"/>
          <w:lang w:eastAsia="en-GB"/>
        </w:rPr>
      </w:pPr>
      <w:r w:rsidRPr="003755B6">
        <w:rPr>
          <w:rFonts w:ascii="Arial" w:hAnsi="Arial" w:cs="Arial"/>
          <w:sz w:val="24"/>
          <w:szCs w:val="24"/>
          <w:lang w:eastAsia="en-GB"/>
        </w:rPr>
        <w:t>Table 1 below outlines the total population of Harrow from the census base population of 24</w:t>
      </w:r>
      <w:r w:rsidR="00982770" w:rsidRPr="003755B6">
        <w:rPr>
          <w:rFonts w:ascii="Arial" w:hAnsi="Arial" w:cs="Arial"/>
          <w:sz w:val="24"/>
          <w:szCs w:val="24"/>
          <w:lang w:eastAsia="en-GB"/>
        </w:rPr>
        <w:t>0</w:t>
      </w:r>
      <w:r w:rsidRPr="003755B6">
        <w:rPr>
          <w:rFonts w:ascii="Arial" w:hAnsi="Arial" w:cs="Arial"/>
          <w:sz w:val="24"/>
          <w:szCs w:val="24"/>
          <w:lang w:eastAsia="en-GB"/>
        </w:rPr>
        <w:t>,</w:t>
      </w:r>
      <w:r w:rsidR="009578DF" w:rsidRPr="003755B6">
        <w:rPr>
          <w:rFonts w:ascii="Arial" w:hAnsi="Arial" w:cs="Arial"/>
          <w:sz w:val="24"/>
          <w:szCs w:val="24"/>
          <w:lang w:eastAsia="en-GB"/>
        </w:rPr>
        <w:t>365</w:t>
      </w:r>
      <w:r w:rsidRPr="003755B6">
        <w:rPr>
          <w:rFonts w:ascii="Arial" w:hAnsi="Arial" w:cs="Arial"/>
          <w:sz w:val="24"/>
          <w:szCs w:val="24"/>
          <w:lang w:eastAsia="en-GB"/>
        </w:rPr>
        <w:t xml:space="preserve"> through five-year intervals to a projected 2041 population of </w:t>
      </w:r>
      <w:r w:rsidR="009D15EA" w:rsidRPr="003755B6">
        <w:rPr>
          <w:rFonts w:ascii="Arial" w:hAnsi="Arial" w:cs="Arial"/>
          <w:sz w:val="24"/>
          <w:szCs w:val="24"/>
          <w:lang w:eastAsia="en-GB"/>
        </w:rPr>
        <w:t>2</w:t>
      </w:r>
      <w:r w:rsidR="009578DF" w:rsidRPr="003755B6">
        <w:rPr>
          <w:rFonts w:ascii="Arial" w:hAnsi="Arial" w:cs="Arial"/>
          <w:sz w:val="24"/>
          <w:szCs w:val="24"/>
          <w:lang w:eastAsia="en-GB"/>
        </w:rPr>
        <w:t>76</w:t>
      </w:r>
      <w:r w:rsidR="009D15EA" w:rsidRPr="003755B6">
        <w:rPr>
          <w:rFonts w:ascii="Arial" w:hAnsi="Arial" w:cs="Arial"/>
          <w:sz w:val="24"/>
          <w:szCs w:val="24"/>
          <w:lang w:eastAsia="en-GB"/>
        </w:rPr>
        <w:t>,</w:t>
      </w:r>
      <w:r w:rsidR="009578DF" w:rsidRPr="003755B6">
        <w:rPr>
          <w:rFonts w:ascii="Arial" w:hAnsi="Arial" w:cs="Arial"/>
          <w:sz w:val="24"/>
          <w:szCs w:val="24"/>
          <w:lang w:eastAsia="en-GB"/>
        </w:rPr>
        <w:t>306</w:t>
      </w:r>
      <w:r w:rsidRPr="003755B6">
        <w:rPr>
          <w:rFonts w:ascii="Arial" w:hAnsi="Arial" w:cs="Arial"/>
          <w:sz w:val="24"/>
          <w:szCs w:val="24"/>
          <w:lang w:eastAsia="en-GB"/>
        </w:rPr>
        <w:t>.</w:t>
      </w:r>
    </w:p>
    <w:p w14:paraId="5D290B44" w14:textId="77777777" w:rsidR="009B2BD3" w:rsidRPr="003755B6" w:rsidRDefault="009B2BD3" w:rsidP="00BB45FC">
      <w:pPr>
        <w:autoSpaceDE w:val="0"/>
        <w:autoSpaceDN w:val="0"/>
        <w:adjustRightInd w:val="0"/>
        <w:spacing w:after="0" w:line="240" w:lineRule="auto"/>
        <w:rPr>
          <w:rFonts w:ascii="Arial" w:hAnsi="Arial" w:cs="Arial"/>
          <w:sz w:val="24"/>
          <w:szCs w:val="24"/>
          <w:lang w:eastAsia="en-GB"/>
        </w:rPr>
      </w:pPr>
    </w:p>
    <w:p w14:paraId="5D290B46" w14:textId="77777777" w:rsidR="00BD0C54" w:rsidRPr="003755B6" w:rsidRDefault="00BD0C54" w:rsidP="00BB45FC">
      <w:pPr>
        <w:autoSpaceDE w:val="0"/>
        <w:autoSpaceDN w:val="0"/>
        <w:adjustRightInd w:val="0"/>
        <w:spacing w:after="0" w:line="240" w:lineRule="auto"/>
        <w:rPr>
          <w:rFonts w:ascii="Arial" w:hAnsi="Arial" w:cs="Arial"/>
          <w:sz w:val="24"/>
          <w:szCs w:val="24"/>
          <w:lang w:eastAsia="en-GB"/>
        </w:rPr>
      </w:pPr>
      <w:r w:rsidRPr="003755B6">
        <w:rPr>
          <w:rFonts w:ascii="Arial" w:hAnsi="Arial" w:cs="Arial"/>
          <w:sz w:val="24"/>
          <w:szCs w:val="24"/>
          <w:lang w:eastAsia="en-GB"/>
        </w:rPr>
        <w:t>Table</w:t>
      </w:r>
      <w:r w:rsidR="009B2BD3" w:rsidRPr="003755B6">
        <w:rPr>
          <w:rFonts w:ascii="Arial" w:hAnsi="Arial" w:cs="Arial"/>
          <w:sz w:val="24"/>
          <w:szCs w:val="24"/>
          <w:lang w:eastAsia="en-GB"/>
        </w:rPr>
        <w:t xml:space="preserve"> 1</w:t>
      </w:r>
      <w:r w:rsidRPr="003755B6">
        <w:rPr>
          <w:rFonts w:ascii="Arial" w:hAnsi="Arial" w:cs="Arial"/>
          <w:sz w:val="24"/>
          <w:szCs w:val="24"/>
          <w:lang w:eastAsia="en-GB"/>
        </w:rPr>
        <w:t>: Population of Harrow</w:t>
      </w:r>
    </w:p>
    <w:tbl>
      <w:tblPr>
        <w:tblW w:w="2940" w:type="dxa"/>
        <w:tblInd w:w="93" w:type="dxa"/>
        <w:tblLook w:val="04A0" w:firstRow="1" w:lastRow="0" w:firstColumn="1" w:lastColumn="0" w:noHBand="0" w:noVBand="1"/>
      </w:tblPr>
      <w:tblGrid>
        <w:gridCol w:w="750"/>
        <w:gridCol w:w="2190"/>
      </w:tblGrid>
      <w:tr w:rsidR="00982770" w:rsidRPr="003755B6" w14:paraId="5D290B49" w14:textId="6EEAA836" w:rsidTr="00982770">
        <w:trPr>
          <w:trHeight w:val="315"/>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90B47" w14:textId="77777777" w:rsidR="00982770" w:rsidRPr="003755B6" w:rsidRDefault="00982770" w:rsidP="00BB45FC">
            <w:pPr>
              <w:spacing w:after="0" w:line="240" w:lineRule="auto"/>
              <w:rPr>
                <w:rFonts w:ascii="Arial" w:eastAsia="Times New Roman" w:hAnsi="Arial" w:cs="Arial"/>
                <w:b/>
                <w:bCs/>
                <w:color w:val="000000"/>
                <w:sz w:val="24"/>
                <w:szCs w:val="24"/>
                <w:lang w:eastAsia="en-GB"/>
              </w:rPr>
            </w:pPr>
            <w:r w:rsidRPr="003755B6">
              <w:rPr>
                <w:rFonts w:ascii="Arial" w:eastAsia="Times New Roman" w:hAnsi="Arial" w:cs="Arial"/>
                <w:b/>
                <w:bCs/>
                <w:color w:val="000000"/>
                <w:sz w:val="24"/>
                <w:szCs w:val="24"/>
                <w:lang w:eastAsia="en-GB"/>
              </w:rPr>
              <w:t>Year</w:t>
            </w:r>
          </w:p>
        </w:tc>
        <w:tc>
          <w:tcPr>
            <w:tcW w:w="2190" w:type="dxa"/>
            <w:tcBorders>
              <w:top w:val="single" w:sz="4" w:space="0" w:color="auto"/>
              <w:left w:val="nil"/>
              <w:bottom w:val="single" w:sz="4" w:space="0" w:color="auto"/>
              <w:right w:val="single" w:sz="4" w:space="0" w:color="auto"/>
            </w:tcBorders>
          </w:tcPr>
          <w:p w14:paraId="3B4415EE" w14:textId="3EEEE770" w:rsidR="00982770" w:rsidRPr="003755B6" w:rsidRDefault="00982770" w:rsidP="00BB45FC">
            <w:pPr>
              <w:spacing w:after="0" w:line="240" w:lineRule="auto"/>
              <w:jc w:val="center"/>
              <w:rPr>
                <w:rFonts w:ascii="Arial" w:eastAsia="Times New Roman" w:hAnsi="Arial" w:cs="Arial"/>
                <w:b/>
                <w:bCs/>
                <w:color w:val="000000"/>
                <w:sz w:val="24"/>
                <w:szCs w:val="24"/>
                <w:lang w:eastAsia="en-GB"/>
              </w:rPr>
            </w:pPr>
            <w:r w:rsidRPr="003755B6">
              <w:rPr>
                <w:rFonts w:ascii="Arial" w:eastAsia="Times New Roman" w:hAnsi="Arial" w:cs="Arial"/>
                <w:b/>
                <w:bCs/>
                <w:color w:val="000000"/>
                <w:sz w:val="24"/>
                <w:szCs w:val="24"/>
                <w:lang w:eastAsia="en-GB"/>
              </w:rPr>
              <w:t>201</w:t>
            </w:r>
            <w:r w:rsidR="005D6D73" w:rsidRPr="003755B6">
              <w:rPr>
                <w:rFonts w:ascii="Arial" w:eastAsia="Times New Roman" w:hAnsi="Arial" w:cs="Arial"/>
                <w:b/>
                <w:bCs/>
                <w:color w:val="000000"/>
                <w:sz w:val="24"/>
                <w:szCs w:val="24"/>
                <w:lang w:eastAsia="en-GB"/>
              </w:rPr>
              <w:t>9</w:t>
            </w:r>
            <w:r w:rsidRPr="003755B6">
              <w:rPr>
                <w:rFonts w:ascii="Arial" w:eastAsia="Times New Roman" w:hAnsi="Arial" w:cs="Arial"/>
                <w:b/>
                <w:bCs/>
                <w:color w:val="000000"/>
                <w:sz w:val="24"/>
                <w:szCs w:val="24"/>
                <w:lang w:eastAsia="en-GB"/>
              </w:rPr>
              <w:t xml:space="preserve"> Population</w:t>
            </w:r>
          </w:p>
        </w:tc>
      </w:tr>
      <w:tr w:rsidR="00982770" w:rsidRPr="003755B6" w14:paraId="5D290B4C" w14:textId="3E0A1E1B" w:rsidTr="00982770">
        <w:trPr>
          <w:trHeight w:val="300"/>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5D290B4A" w14:textId="77777777" w:rsidR="00982770" w:rsidRPr="003755B6" w:rsidRDefault="00982770" w:rsidP="00BB45FC">
            <w:pPr>
              <w:spacing w:after="0" w:line="240" w:lineRule="auto"/>
              <w:jc w:val="right"/>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2011</w:t>
            </w:r>
          </w:p>
        </w:tc>
        <w:tc>
          <w:tcPr>
            <w:tcW w:w="2190" w:type="dxa"/>
            <w:tcBorders>
              <w:top w:val="nil"/>
              <w:left w:val="nil"/>
              <w:bottom w:val="single" w:sz="4" w:space="0" w:color="auto"/>
              <w:right w:val="single" w:sz="4" w:space="0" w:color="auto"/>
            </w:tcBorders>
          </w:tcPr>
          <w:p w14:paraId="2531D910" w14:textId="12E6D9DC" w:rsidR="00982770" w:rsidRPr="003755B6" w:rsidRDefault="00982770" w:rsidP="00BB45FC">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240,</w:t>
            </w:r>
            <w:r w:rsidR="007F6FFB" w:rsidRPr="003755B6">
              <w:rPr>
                <w:rFonts w:ascii="Arial" w:eastAsia="Times New Roman" w:hAnsi="Arial" w:cs="Arial"/>
                <w:color w:val="000000"/>
                <w:sz w:val="24"/>
                <w:szCs w:val="24"/>
                <w:lang w:eastAsia="en-GB"/>
              </w:rPr>
              <w:t>499</w:t>
            </w:r>
          </w:p>
        </w:tc>
      </w:tr>
      <w:tr w:rsidR="00982770" w:rsidRPr="003755B6" w14:paraId="5D290B4F" w14:textId="0460F9D5" w:rsidTr="00982770">
        <w:trPr>
          <w:trHeight w:val="300"/>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5D290B4D" w14:textId="77777777" w:rsidR="00982770" w:rsidRPr="003755B6" w:rsidRDefault="00982770" w:rsidP="00BB45FC">
            <w:pPr>
              <w:spacing w:after="0" w:line="240" w:lineRule="auto"/>
              <w:jc w:val="right"/>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2016</w:t>
            </w:r>
          </w:p>
        </w:tc>
        <w:tc>
          <w:tcPr>
            <w:tcW w:w="2190" w:type="dxa"/>
            <w:tcBorders>
              <w:top w:val="nil"/>
              <w:left w:val="nil"/>
              <w:bottom w:val="single" w:sz="4" w:space="0" w:color="auto"/>
              <w:right w:val="single" w:sz="4" w:space="0" w:color="auto"/>
            </w:tcBorders>
          </w:tcPr>
          <w:p w14:paraId="175D0AA4" w14:textId="490EBC51" w:rsidR="00982770" w:rsidRPr="003755B6" w:rsidRDefault="00982770" w:rsidP="00BB45FC">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24</w:t>
            </w:r>
            <w:r w:rsidR="00772294" w:rsidRPr="003755B6">
              <w:rPr>
                <w:rFonts w:ascii="Arial" w:eastAsia="Times New Roman" w:hAnsi="Arial" w:cs="Arial"/>
                <w:color w:val="000000"/>
                <w:sz w:val="24"/>
                <w:szCs w:val="24"/>
                <w:lang w:eastAsia="en-GB"/>
              </w:rPr>
              <w:t>8</w:t>
            </w:r>
            <w:r w:rsidRPr="003755B6">
              <w:rPr>
                <w:rFonts w:ascii="Arial" w:eastAsia="Times New Roman" w:hAnsi="Arial" w:cs="Arial"/>
                <w:color w:val="000000"/>
                <w:sz w:val="24"/>
                <w:szCs w:val="24"/>
                <w:lang w:eastAsia="en-GB"/>
              </w:rPr>
              <w:t>,</w:t>
            </w:r>
            <w:r w:rsidR="001F519B" w:rsidRPr="003755B6">
              <w:rPr>
                <w:rFonts w:ascii="Arial" w:eastAsia="Times New Roman" w:hAnsi="Arial" w:cs="Arial"/>
                <w:color w:val="000000"/>
                <w:sz w:val="24"/>
                <w:szCs w:val="24"/>
                <w:lang w:eastAsia="en-GB"/>
              </w:rPr>
              <w:t>697</w:t>
            </w:r>
          </w:p>
        </w:tc>
      </w:tr>
      <w:tr w:rsidR="00982770" w:rsidRPr="003755B6" w14:paraId="5D290B52" w14:textId="676DFA23" w:rsidTr="00982770">
        <w:trPr>
          <w:trHeight w:val="300"/>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5D290B50" w14:textId="77777777" w:rsidR="00982770" w:rsidRPr="003755B6" w:rsidRDefault="00982770" w:rsidP="00BB45FC">
            <w:pPr>
              <w:spacing w:after="0" w:line="240" w:lineRule="auto"/>
              <w:jc w:val="right"/>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2021</w:t>
            </w:r>
          </w:p>
        </w:tc>
        <w:tc>
          <w:tcPr>
            <w:tcW w:w="2190" w:type="dxa"/>
            <w:tcBorders>
              <w:top w:val="nil"/>
              <w:left w:val="nil"/>
              <w:bottom w:val="single" w:sz="4" w:space="0" w:color="auto"/>
              <w:right w:val="single" w:sz="4" w:space="0" w:color="auto"/>
            </w:tcBorders>
          </w:tcPr>
          <w:p w14:paraId="0121F247" w14:textId="1D57D85F" w:rsidR="00982770" w:rsidRPr="003755B6" w:rsidRDefault="00982770" w:rsidP="00BB45FC">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2</w:t>
            </w:r>
            <w:r w:rsidR="00772294" w:rsidRPr="003755B6">
              <w:rPr>
                <w:rFonts w:ascii="Arial" w:eastAsia="Times New Roman" w:hAnsi="Arial" w:cs="Arial"/>
                <w:color w:val="000000"/>
                <w:sz w:val="24"/>
                <w:szCs w:val="24"/>
                <w:lang w:eastAsia="en-GB"/>
              </w:rPr>
              <w:t>5</w:t>
            </w:r>
            <w:r w:rsidR="001F519B" w:rsidRPr="003755B6">
              <w:rPr>
                <w:rFonts w:ascii="Arial" w:eastAsia="Times New Roman" w:hAnsi="Arial" w:cs="Arial"/>
                <w:color w:val="000000"/>
                <w:sz w:val="24"/>
                <w:szCs w:val="24"/>
                <w:lang w:eastAsia="en-GB"/>
              </w:rPr>
              <w:t>0</w:t>
            </w:r>
            <w:r w:rsidRPr="003755B6">
              <w:rPr>
                <w:rFonts w:ascii="Arial" w:eastAsia="Times New Roman" w:hAnsi="Arial" w:cs="Arial"/>
                <w:color w:val="000000"/>
                <w:sz w:val="24"/>
                <w:szCs w:val="24"/>
                <w:lang w:eastAsia="en-GB"/>
              </w:rPr>
              <w:t>,</w:t>
            </w:r>
            <w:r w:rsidR="001F519B" w:rsidRPr="003755B6">
              <w:rPr>
                <w:rFonts w:ascii="Arial" w:eastAsia="Times New Roman" w:hAnsi="Arial" w:cs="Arial"/>
                <w:color w:val="000000"/>
                <w:sz w:val="24"/>
                <w:szCs w:val="24"/>
                <w:lang w:eastAsia="en-GB"/>
              </w:rPr>
              <w:t>230</w:t>
            </w:r>
          </w:p>
        </w:tc>
      </w:tr>
      <w:tr w:rsidR="00982770" w:rsidRPr="003755B6" w14:paraId="5D290B55" w14:textId="0E582DF1" w:rsidTr="00982770">
        <w:trPr>
          <w:trHeight w:val="300"/>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5D290B53" w14:textId="77777777" w:rsidR="00982770" w:rsidRPr="003755B6" w:rsidRDefault="00982770" w:rsidP="00BB45FC">
            <w:pPr>
              <w:spacing w:after="0" w:line="240" w:lineRule="auto"/>
              <w:jc w:val="right"/>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2026</w:t>
            </w:r>
          </w:p>
        </w:tc>
        <w:tc>
          <w:tcPr>
            <w:tcW w:w="2190" w:type="dxa"/>
            <w:tcBorders>
              <w:top w:val="nil"/>
              <w:left w:val="nil"/>
              <w:bottom w:val="single" w:sz="4" w:space="0" w:color="auto"/>
              <w:right w:val="single" w:sz="4" w:space="0" w:color="auto"/>
            </w:tcBorders>
          </w:tcPr>
          <w:p w14:paraId="67E7271A" w14:textId="2555CE5C" w:rsidR="00982770" w:rsidRPr="003755B6" w:rsidRDefault="00982770" w:rsidP="00BB45FC">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2</w:t>
            </w:r>
            <w:r w:rsidR="001F519B" w:rsidRPr="003755B6">
              <w:rPr>
                <w:rFonts w:ascii="Arial" w:eastAsia="Times New Roman" w:hAnsi="Arial" w:cs="Arial"/>
                <w:color w:val="000000"/>
                <w:sz w:val="24"/>
                <w:szCs w:val="24"/>
                <w:lang w:eastAsia="en-GB"/>
              </w:rPr>
              <w:t>59</w:t>
            </w:r>
            <w:r w:rsidRPr="003755B6">
              <w:rPr>
                <w:rFonts w:ascii="Arial" w:eastAsia="Times New Roman" w:hAnsi="Arial" w:cs="Arial"/>
                <w:color w:val="000000"/>
                <w:sz w:val="24"/>
                <w:szCs w:val="24"/>
                <w:lang w:eastAsia="en-GB"/>
              </w:rPr>
              <w:t>,</w:t>
            </w:r>
            <w:r w:rsidR="00772294" w:rsidRPr="003755B6">
              <w:rPr>
                <w:rFonts w:ascii="Arial" w:eastAsia="Times New Roman" w:hAnsi="Arial" w:cs="Arial"/>
                <w:color w:val="000000"/>
                <w:sz w:val="24"/>
                <w:szCs w:val="24"/>
                <w:lang w:eastAsia="en-GB"/>
              </w:rPr>
              <w:t>9</w:t>
            </w:r>
            <w:r w:rsidR="001F519B" w:rsidRPr="003755B6">
              <w:rPr>
                <w:rFonts w:ascii="Arial" w:eastAsia="Times New Roman" w:hAnsi="Arial" w:cs="Arial"/>
                <w:color w:val="000000"/>
                <w:sz w:val="24"/>
                <w:szCs w:val="24"/>
                <w:lang w:eastAsia="en-GB"/>
              </w:rPr>
              <w:t>57</w:t>
            </w:r>
          </w:p>
        </w:tc>
      </w:tr>
      <w:tr w:rsidR="00982770" w:rsidRPr="003755B6" w14:paraId="5D290B58" w14:textId="29D410C3" w:rsidTr="00982770">
        <w:trPr>
          <w:trHeight w:val="300"/>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5D290B56" w14:textId="77777777" w:rsidR="00982770" w:rsidRPr="003755B6" w:rsidRDefault="00982770" w:rsidP="00BB45FC">
            <w:pPr>
              <w:spacing w:after="0" w:line="240" w:lineRule="auto"/>
              <w:jc w:val="right"/>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2031</w:t>
            </w:r>
          </w:p>
        </w:tc>
        <w:tc>
          <w:tcPr>
            <w:tcW w:w="2190" w:type="dxa"/>
            <w:tcBorders>
              <w:top w:val="nil"/>
              <w:left w:val="nil"/>
              <w:bottom w:val="single" w:sz="4" w:space="0" w:color="auto"/>
              <w:right w:val="single" w:sz="4" w:space="0" w:color="auto"/>
            </w:tcBorders>
          </w:tcPr>
          <w:p w14:paraId="4793D1D2" w14:textId="1D3AE1E1" w:rsidR="00BE72FD" w:rsidRPr="003755B6" w:rsidRDefault="00982770" w:rsidP="00BE72FD">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2</w:t>
            </w:r>
            <w:r w:rsidR="00BE72FD" w:rsidRPr="003755B6">
              <w:rPr>
                <w:rFonts w:ascii="Arial" w:eastAsia="Times New Roman" w:hAnsi="Arial" w:cs="Arial"/>
                <w:color w:val="000000"/>
                <w:sz w:val="24"/>
                <w:szCs w:val="24"/>
                <w:lang w:eastAsia="en-GB"/>
              </w:rPr>
              <w:t>67</w:t>
            </w:r>
            <w:r w:rsidRPr="003755B6">
              <w:rPr>
                <w:rFonts w:ascii="Arial" w:eastAsia="Times New Roman" w:hAnsi="Arial" w:cs="Arial"/>
                <w:color w:val="000000"/>
                <w:sz w:val="24"/>
                <w:szCs w:val="24"/>
                <w:lang w:eastAsia="en-GB"/>
              </w:rPr>
              <w:t>,</w:t>
            </w:r>
            <w:r w:rsidR="00BE72FD" w:rsidRPr="003755B6">
              <w:rPr>
                <w:rFonts w:ascii="Arial" w:eastAsia="Times New Roman" w:hAnsi="Arial" w:cs="Arial"/>
                <w:color w:val="000000"/>
                <w:sz w:val="24"/>
                <w:szCs w:val="24"/>
                <w:lang w:eastAsia="en-GB"/>
              </w:rPr>
              <w:t>788</w:t>
            </w:r>
          </w:p>
        </w:tc>
      </w:tr>
      <w:tr w:rsidR="00982770" w:rsidRPr="003755B6" w14:paraId="5D290B5B" w14:textId="0CE53BFC" w:rsidTr="00982770">
        <w:trPr>
          <w:trHeight w:val="300"/>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5D290B59" w14:textId="77777777" w:rsidR="00982770" w:rsidRPr="003755B6" w:rsidRDefault="00982770" w:rsidP="00BB45FC">
            <w:pPr>
              <w:spacing w:after="0" w:line="240" w:lineRule="auto"/>
              <w:jc w:val="right"/>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2036</w:t>
            </w:r>
          </w:p>
        </w:tc>
        <w:tc>
          <w:tcPr>
            <w:tcW w:w="2190" w:type="dxa"/>
            <w:tcBorders>
              <w:top w:val="nil"/>
              <w:left w:val="nil"/>
              <w:bottom w:val="single" w:sz="4" w:space="0" w:color="auto"/>
              <w:right w:val="single" w:sz="4" w:space="0" w:color="auto"/>
            </w:tcBorders>
          </w:tcPr>
          <w:p w14:paraId="513AEC17" w14:textId="3B77B996" w:rsidR="00982770" w:rsidRPr="003755B6" w:rsidRDefault="00982770" w:rsidP="00BB45FC">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2</w:t>
            </w:r>
            <w:r w:rsidR="00772294" w:rsidRPr="003755B6">
              <w:rPr>
                <w:rFonts w:ascii="Arial" w:eastAsia="Times New Roman" w:hAnsi="Arial" w:cs="Arial"/>
                <w:color w:val="000000"/>
                <w:sz w:val="24"/>
                <w:szCs w:val="24"/>
                <w:lang w:eastAsia="en-GB"/>
              </w:rPr>
              <w:t>7</w:t>
            </w:r>
            <w:r w:rsidR="00BE72FD" w:rsidRPr="003755B6">
              <w:rPr>
                <w:rFonts w:ascii="Arial" w:eastAsia="Times New Roman" w:hAnsi="Arial" w:cs="Arial"/>
                <w:color w:val="000000"/>
                <w:sz w:val="24"/>
                <w:szCs w:val="24"/>
                <w:lang w:eastAsia="en-GB"/>
              </w:rPr>
              <w:t>1,181</w:t>
            </w:r>
          </w:p>
        </w:tc>
      </w:tr>
      <w:tr w:rsidR="00982770" w:rsidRPr="003755B6" w14:paraId="5D290B5E" w14:textId="5C801B60" w:rsidTr="00982770">
        <w:trPr>
          <w:trHeight w:val="300"/>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5D290B5C" w14:textId="77777777" w:rsidR="00982770" w:rsidRPr="003755B6" w:rsidRDefault="00982770" w:rsidP="00BB45FC">
            <w:pPr>
              <w:spacing w:after="0" w:line="240" w:lineRule="auto"/>
              <w:jc w:val="right"/>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2041</w:t>
            </w:r>
          </w:p>
        </w:tc>
        <w:tc>
          <w:tcPr>
            <w:tcW w:w="2190" w:type="dxa"/>
            <w:tcBorders>
              <w:top w:val="nil"/>
              <w:left w:val="nil"/>
              <w:bottom w:val="single" w:sz="4" w:space="0" w:color="auto"/>
              <w:right w:val="single" w:sz="4" w:space="0" w:color="auto"/>
            </w:tcBorders>
          </w:tcPr>
          <w:p w14:paraId="39A716BB" w14:textId="01E6101D" w:rsidR="00982770" w:rsidRPr="003755B6" w:rsidRDefault="00982770" w:rsidP="00BB45FC">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2</w:t>
            </w:r>
            <w:r w:rsidR="00772294" w:rsidRPr="003755B6">
              <w:rPr>
                <w:rFonts w:ascii="Arial" w:eastAsia="Times New Roman" w:hAnsi="Arial" w:cs="Arial"/>
                <w:color w:val="000000"/>
                <w:sz w:val="24"/>
                <w:szCs w:val="24"/>
                <w:lang w:eastAsia="en-GB"/>
              </w:rPr>
              <w:t>7</w:t>
            </w:r>
            <w:r w:rsidR="00BE72FD" w:rsidRPr="003755B6">
              <w:rPr>
                <w:rFonts w:ascii="Arial" w:eastAsia="Times New Roman" w:hAnsi="Arial" w:cs="Arial"/>
                <w:color w:val="000000"/>
                <w:sz w:val="24"/>
                <w:szCs w:val="24"/>
                <w:lang w:eastAsia="en-GB"/>
              </w:rPr>
              <w:t>2,536</w:t>
            </w:r>
          </w:p>
        </w:tc>
      </w:tr>
    </w:tbl>
    <w:p w14:paraId="5D290B5F" w14:textId="2EE73F5F" w:rsidR="00BB45FC" w:rsidRPr="003755B6" w:rsidRDefault="00890184" w:rsidP="00BB45FC">
      <w:pPr>
        <w:autoSpaceDE w:val="0"/>
        <w:autoSpaceDN w:val="0"/>
        <w:adjustRightInd w:val="0"/>
        <w:spacing w:after="0" w:line="240" w:lineRule="auto"/>
        <w:rPr>
          <w:rFonts w:ascii="Arial" w:hAnsi="Arial" w:cs="Arial"/>
          <w:sz w:val="20"/>
          <w:szCs w:val="20"/>
          <w:lang w:eastAsia="en-GB"/>
        </w:rPr>
      </w:pPr>
      <w:r w:rsidRPr="003755B6">
        <w:rPr>
          <w:rFonts w:ascii="Arial" w:hAnsi="Arial" w:cs="Arial"/>
          <w:sz w:val="20"/>
          <w:szCs w:val="20"/>
          <w:lang w:eastAsia="en-GB"/>
        </w:rPr>
        <w:t xml:space="preserve">Source: </w:t>
      </w:r>
      <w:r w:rsidR="00C95D73" w:rsidRPr="003755B6">
        <w:rPr>
          <w:rFonts w:ascii="Arial" w:hAnsi="Arial" w:cs="Arial"/>
          <w:sz w:val="20"/>
          <w:szCs w:val="20"/>
          <w:lang w:eastAsia="en-GB"/>
        </w:rPr>
        <w:t>harrow_scenario_2_BPO_2019</w:t>
      </w:r>
    </w:p>
    <w:p w14:paraId="4B5B07C7" w14:textId="77777777" w:rsidR="00772294" w:rsidRPr="003755B6" w:rsidRDefault="00772294" w:rsidP="00BB45FC">
      <w:pPr>
        <w:autoSpaceDE w:val="0"/>
        <w:autoSpaceDN w:val="0"/>
        <w:adjustRightInd w:val="0"/>
        <w:spacing w:after="0" w:line="240" w:lineRule="auto"/>
        <w:rPr>
          <w:rFonts w:ascii="Arial" w:hAnsi="Arial" w:cs="Arial"/>
          <w:sz w:val="24"/>
          <w:szCs w:val="24"/>
          <w:lang w:eastAsia="en-GB"/>
        </w:rPr>
      </w:pPr>
    </w:p>
    <w:p w14:paraId="5D290B60" w14:textId="77777777" w:rsidR="00BD0C54" w:rsidRPr="003755B6" w:rsidRDefault="00BD0C54" w:rsidP="00F446CA">
      <w:pPr>
        <w:autoSpaceDE w:val="0"/>
        <w:autoSpaceDN w:val="0"/>
        <w:adjustRightInd w:val="0"/>
        <w:spacing w:after="0"/>
        <w:rPr>
          <w:rFonts w:ascii="Arial" w:hAnsi="Arial" w:cs="Arial"/>
          <w:b/>
          <w:noProof/>
          <w:sz w:val="24"/>
          <w:szCs w:val="24"/>
          <w:lang w:eastAsia="en-GB"/>
        </w:rPr>
      </w:pPr>
      <w:r w:rsidRPr="003755B6">
        <w:rPr>
          <w:rFonts w:ascii="Arial" w:hAnsi="Arial" w:cs="Arial"/>
          <w:b/>
          <w:noProof/>
          <w:sz w:val="24"/>
          <w:szCs w:val="24"/>
          <w:lang w:eastAsia="en-GB"/>
        </w:rPr>
        <w:t>Age structure</w:t>
      </w:r>
    </w:p>
    <w:p w14:paraId="5D290B61" w14:textId="0AECB0A0" w:rsidR="00BD0C54" w:rsidRPr="003755B6" w:rsidRDefault="00BD0C54" w:rsidP="00F446CA">
      <w:pPr>
        <w:autoSpaceDE w:val="0"/>
        <w:autoSpaceDN w:val="0"/>
        <w:adjustRightInd w:val="0"/>
        <w:spacing w:after="0"/>
        <w:rPr>
          <w:rFonts w:ascii="Arial" w:hAnsi="Arial" w:cs="Arial"/>
          <w:sz w:val="24"/>
          <w:szCs w:val="24"/>
          <w:lang w:eastAsia="en-GB"/>
        </w:rPr>
      </w:pPr>
      <w:r w:rsidRPr="003755B6">
        <w:rPr>
          <w:rFonts w:ascii="Arial" w:hAnsi="Arial" w:cs="Arial"/>
          <w:sz w:val="24"/>
          <w:szCs w:val="24"/>
          <w:lang w:eastAsia="en-GB"/>
        </w:rPr>
        <w:t>The greates</w:t>
      </w:r>
      <w:r w:rsidR="000E658A" w:rsidRPr="003755B6">
        <w:rPr>
          <w:rFonts w:ascii="Arial" w:hAnsi="Arial" w:cs="Arial"/>
          <w:sz w:val="24"/>
          <w:szCs w:val="24"/>
          <w:lang w:eastAsia="en-GB"/>
        </w:rPr>
        <w:t>t growth in Harrow, between 2011</w:t>
      </w:r>
      <w:r w:rsidRPr="003755B6">
        <w:rPr>
          <w:rFonts w:ascii="Arial" w:hAnsi="Arial" w:cs="Arial"/>
          <w:sz w:val="24"/>
          <w:szCs w:val="24"/>
          <w:lang w:eastAsia="en-GB"/>
        </w:rPr>
        <w:t xml:space="preserve"> and 2031, is projected to be in the 65 and over age group where the population increases by 1</w:t>
      </w:r>
      <w:r w:rsidR="00E6588F" w:rsidRPr="003755B6">
        <w:rPr>
          <w:rFonts w:ascii="Arial" w:hAnsi="Arial" w:cs="Arial"/>
          <w:sz w:val="24"/>
          <w:szCs w:val="24"/>
          <w:lang w:eastAsia="en-GB"/>
        </w:rPr>
        <w:t>6</w:t>
      </w:r>
      <w:r w:rsidR="00AB58B6" w:rsidRPr="003755B6">
        <w:rPr>
          <w:rFonts w:ascii="Arial" w:hAnsi="Arial" w:cs="Arial"/>
          <w:sz w:val="24"/>
          <w:szCs w:val="24"/>
          <w:lang w:eastAsia="en-GB"/>
        </w:rPr>
        <w:t>,</w:t>
      </w:r>
      <w:r w:rsidR="00E6588F" w:rsidRPr="003755B6">
        <w:rPr>
          <w:rFonts w:ascii="Arial" w:hAnsi="Arial" w:cs="Arial"/>
          <w:sz w:val="24"/>
          <w:szCs w:val="24"/>
          <w:lang w:eastAsia="en-GB"/>
        </w:rPr>
        <w:t>605</w:t>
      </w:r>
      <w:r w:rsidRPr="003755B6">
        <w:rPr>
          <w:rFonts w:ascii="Arial" w:hAnsi="Arial" w:cs="Arial"/>
          <w:sz w:val="24"/>
          <w:szCs w:val="24"/>
          <w:lang w:eastAsia="en-GB"/>
        </w:rPr>
        <w:t xml:space="preserve"> persons (</w:t>
      </w:r>
      <w:r w:rsidR="00AB58B6" w:rsidRPr="003755B6">
        <w:rPr>
          <w:rFonts w:ascii="Arial" w:hAnsi="Arial" w:cs="Arial"/>
          <w:sz w:val="24"/>
          <w:szCs w:val="24"/>
          <w:lang w:eastAsia="en-GB"/>
        </w:rPr>
        <w:t>4</w:t>
      </w:r>
      <w:r w:rsidR="00E6588F" w:rsidRPr="003755B6">
        <w:rPr>
          <w:rFonts w:ascii="Arial" w:hAnsi="Arial" w:cs="Arial"/>
          <w:sz w:val="24"/>
          <w:szCs w:val="24"/>
          <w:lang w:eastAsia="en-GB"/>
        </w:rPr>
        <w:t>9</w:t>
      </w:r>
      <w:r w:rsidR="00AB58B6" w:rsidRPr="003755B6">
        <w:rPr>
          <w:rFonts w:ascii="Arial" w:hAnsi="Arial" w:cs="Arial"/>
          <w:sz w:val="24"/>
          <w:szCs w:val="24"/>
          <w:lang w:eastAsia="en-GB"/>
        </w:rPr>
        <w:t>.0</w:t>
      </w:r>
      <w:r w:rsidRPr="003755B6">
        <w:rPr>
          <w:rFonts w:ascii="Arial" w:hAnsi="Arial" w:cs="Arial"/>
          <w:sz w:val="24"/>
          <w:szCs w:val="24"/>
          <w:lang w:eastAsia="en-GB"/>
        </w:rPr>
        <w:t xml:space="preserve"> percent).</w:t>
      </w:r>
    </w:p>
    <w:p w14:paraId="5D290B62" w14:textId="77777777" w:rsidR="00BB45FC" w:rsidRPr="003755B6" w:rsidRDefault="00BB45FC" w:rsidP="00F446CA">
      <w:pPr>
        <w:autoSpaceDE w:val="0"/>
        <w:autoSpaceDN w:val="0"/>
        <w:adjustRightInd w:val="0"/>
        <w:spacing w:after="0"/>
        <w:rPr>
          <w:rFonts w:ascii="Arial" w:hAnsi="Arial" w:cs="Arial"/>
          <w:sz w:val="24"/>
          <w:szCs w:val="24"/>
          <w:lang w:eastAsia="en-GB"/>
        </w:rPr>
      </w:pPr>
    </w:p>
    <w:p w14:paraId="1078F2CF" w14:textId="2A0AAD95" w:rsidR="001D6E0A" w:rsidRPr="003755B6" w:rsidRDefault="001D6E0A" w:rsidP="001D6E0A">
      <w:pPr>
        <w:autoSpaceDE w:val="0"/>
        <w:autoSpaceDN w:val="0"/>
        <w:adjustRightInd w:val="0"/>
        <w:spacing w:after="0"/>
        <w:rPr>
          <w:rFonts w:ascii="Arial" w:hAnsi="Arial" w:cs="Arial"/>
          <w:sz w:val="24"/>
          <w:szCs w:val="24"/>
          <w:lang w:eastAsia="en-GB"/>
        </w:rPr>
      </w:pPr>
      <w:r w:rsidRPr="003755B6">
        <w:rPr>
          <w:rFonts w:ascii="Arial" w:hAnsi="Arial" w:cs="Arial"/>
          <w:sz w:val="24"/>
          <w:szCs w:val="24"/>
          <w:lang w:eastAsia="en-GB"/>
        </w:rPr>
        <w:t>Table 2: Age structure of Harrow - 201</w:t>
      </w:r>
      <w:r w:rsidR="00F57B3A" w:rsidRPr="003755B6">
        <w:rPr>
          <w:rFonts w:ascii="Arial" w:hAnsi="Arial" w:cs="Arial"/>
          <w:sz w:val="24"/>
          <w:szCs w:val="24"/>
          <w:lang w:eastAsia="en-GB"/>
        </w:rPr>
        <w:t>9</w:t>
      </w:r>
    </w:p>
    <w:tbl>
      <w:tblPr>
        <w:tblW w:w="717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1456"/>
        <w:gridCol w:w="1456"/>
        <w:gridCol w:w="1097"/>
        <w:gridCol w:w="1510"/>
      </w:tblGrid>
      <w:tr w:rsidR="001D6E0A" w:rsidRPr="003755B6" w14:paraId="3C160432" w14:textId="77777777" w:rsidTr="00045386">
        <w:trPr>
          <w:trHeight w:val="640"/>
        </w:trPr>
        <w:tc>
          <w:tcPr>
            <w:tcW w:w="1657" w:type="dxa"/>
            <w:shd w:val="clear" w:color="auto" w:fill="auto"/>
            <w:noWrap/>
            <w:vAlign w:val="center"/>
            <w:hideMark/>
          </w:tcPr>
          <w:p w14:paraId="52211573" w14:textId="77777777" w:rsidR="001D6E0A" w:rsidRPr="003755B6" w:rsidRDefault="001D6E0A" w:rsidP="00045386">
            <w:pPr>
              <w:spacing w:after="0" w:line="240" w:lineRule="auto"/>
              <w:rPr>
                <w:rFonts w:ascii="Arial" w:eastAsia="Times New Roman" w:hAnsi="Arial" w:cs="Arial"/>
                <w:b/>
                <w:bCs/>
                <w:color w:val="000000"/>
                <w:sz w:val="24"/>
                <w:szCs w:val="24"/>
                <w:lang w:eastAsia="en-GB"/>
              </w:rPr>
            </w:pPr>
            <w:r w:rsidRPr="003755B6">
              <w:rPr>
                <w:rFonts w:ascii="Arial" w:eastAsia="Times New Roman" w:hAnsi="Arial" w:cs="Arial"/>
                <w:b/>
                <w:bCs/>
                <w:color w:val="000000"/>
                <w:sz w:val="24"/>
                <w:szCs w:val="24"/>
                <w:lang w:eastAsia="en-GB"/>
              </w:rPr>
              <w:t xml:space="preserve">Age Group </w:t>
            </w:r>
          </w:p>
        </w:tc>
        <w:tc>
          <w:tcPr>
            <w:tcW w:w="1456" w:type="dxa"/>
            <w:shd w:val="clear" w:color="auto" w:fill="auto"/>
            <w:noWrap/>
            <w:vAlign w:val="center"/>
            <w:hideMark/>
          </w:tcPr>
          <w:p w14:paraId="5A40B052" w14:textId="77777777" w:rsidR="001D6E0A" w:rsidRPr="003755B6" w:rsidRDefault="001D6E0A" w:rsidP="00045386">
            <w:pPr>
              <w:spacing w:after="0" w:line="240" w:lineRule="auto"/>
              <w:jc w:val="center"/>
              <w:rPr>
                <w:rFonts w:ascii="Arial" w:eastAsia="Times New Roman" w:hAnsi="Arial" w:cs="Arial"/>
                <w:b/>
                <w:bCs/>
                <w:color w:val="000000"/>
                <w:sz w:val="24"/>
                <w:szCs w:val="24"/>
                <w:lang w:eastAsia="en-GB"/>
              </w:rPr>
            </w:pPr>
            <w:r w:rsidRPr="003755B6">
              <w:rPr>
                <w:rFonts w:ascii="Arial" w:eastAsia="Times New Roman" w:hAnsi="Arial" w:cs="Arial"/>
                <w:b/>
                <w:bCs/>
                <w:color w:val="000000"/>
                <w:sz w:val="24"/>
                <w:szCs w:val="24"/>
                <w:lang w:eastAsia="en-GB"/>
              </w:rPr>
              <w:t>Population</w:t>
            </w:r>
          </w:p>
          <w:p w14:paraId="7EB927EE" w14:textId="77777777" w:rsidR="001D6E0A" w:rsidRPr="003755B6" w:rsidRDefault="001D6E0A" w:rsidP="00045386">
            <w:pPr>
              <w:spacing w:after="0" w:line="240" w:lineRule="auto"/>
              <w:jc w:val="center"/>
              <w:rPr>
                <w:rFonts w:ascii="Arial" w:eastAsia="Times New Roman" w:hAnsi="Arial" w:cs="Arial"/>
                <w:b/>
                <w:bCs/>
                <w:color w:val="000000"/>
                <w:sz w:val="24"/>
                <w:szCs w:val="24"/>
                <w:lang w:eastAsia="en-GB"/>
              </w:rPr>
            </w:pPr>
            <w:r w:rsidRPr="003755B6">
              <w:rPr>
                <w:rFonts w:ascii="Arial" w:eastAsia="Times New Roman" w:hAnsi="Arial" w:cs="Arial"/>
                <w:b/>
                <w:bCs/>
                <w:color w:val="000000"/>
                <w:sz w:val="24"/>
                <w:szCs w:val="24"/>
                <w:lang w:eastAsia="en-GB"/>
              </w:rPr>
              <w:t>2011</w:t>
            </w:r>
          </w:p>
        </w:tc>
        <w:tc>
          <w:tcPr>
            <w:tcW w:w="1456" w:type="dxa"/>
            <w:shd w:val="clear" w:color="auto" w:fill="auto"/>
            <w:noWrap/>
            <w:vAlign w:val="center"/>
            <w:hideMark/>
          </w:tcPr>
          <w:p w14:paraId="203DD61D" w14:textId="77777777" w:rsidR="001D6E0A" w:rsidRPr="003755B6" w:rsidRDefault="001D6E0A" w:rsidP="00045386">
            <w:pPr>
              <w:spacing w:after="0" w:line="240" w:lineRule="auto"/>
              <w:jc w:val="center"/>
              <w:rPr>
                <w:rFonts w:ascii="Arial" w:eastAsia="Times New Roman" w:hAnsi="Arial" w:cs="Arial"/>
                <w:b/>
                <w:bCs/>
                <w:color w:val="000000"/>
                <w:sz w:val="24"/>
                <w:szCs w:val="24"/>
                <w:lang w:eastAsia="en-GB"/>
              </w:rPr>
            </w:pPr>
            <w:r w:rsidRPr="003755B6">
              <w:rPr>
                <w:rFonts w:ascii="Arial" w:eastAsia="Times New Roman" w:hAnsi="Arial" w:cs="Arial"/>
                <w:b/>
                <w:bCs/>
                <w:color w:val="000000"/>
                <w:sz w:val="24"/>
                <w:szCs w:val="24"/>
                <w:lang w:eastAsia="en-GB"/>
              </w:rPr>
              <w:t>Population</w:t>
            </w:r>
          </w:p>
          <w:p w14:paraId="7F4BEBBA" w14:textId="77777777" w:rsidR="001D6E0A" w:rsidRPr="003755B6" w:rsidRDefault="001D6E0A" w:rsidP="00045386">
            <w:pPr>
              <w:spacing w:after="0" w:line="240" w:lineRule="auto"/>
              <w:jc w:val="center"/>
              <w:rPr>
                <w:rFonts w:ascii="Arial" w:eastAsia="Times New Roman" w:hAnsi="Arial" w:cs="Arial"/>
                <w:b/>
                <w:bCs/>
                <w:color w:val="000000"/>
                <w:sz w:val="24"/>
                <w:szCs w:val="24"/>
                <w:lang w:eastAsia="en-GB"/>
              </w:rPr>
            </w:pPr>
            <w:r w:rsidRPr="003755B6">
              <w:rPr>
                <w:rFonts w:ascii="Arial" w:eastAsia="Times New Roman" w:hAnsi="Arial" w:cs="Arial"/>
                <w:b/>
                <w:bCs/>
                <w:color w:val="000000"/>
                <w:sz w:val="24"/>
                <w:szCs w:val="24"/>
                <w:lang w:eastAsia="en-GB"/>
              </w:rPr>
              <w:t>2031</w:t>
            </w:r>
          </w:p>
        </w:tc>
        <w:tc>
          <w:tcPr>
            <w:tcW w:w="1097" w:type="dxa"/>
            <w:shd w:val="clear" w:color="auto" w:fill="auto"/>
            <w:noWrap/>
            <w:vAlign w:val="center"/>
            <w:hideMark/>
          </w:tcPr>
          <w:p w14:paraId="1E9F2C91" w14:textId="77777777" w:rsidR="001D6E0A" w:rsidRPr="003755B6" w:rsidRDefault="001D6E0A" w:rsidP="00045386">
            <w:pPr>
              <w:spacing w:after="0" w:line="240" w:lineRule="auto"/>
              <w:jc w:val="center"/>
              <w:rPr>
                <w:rFonts w:ascii="Arial" w:eastAsia="Times New Roman" w:hAnsi="Arial" w:cs="Arial"/>
                <w:b/>
                <w:bCs/>
                <w:color w:val="000000"/>
                <w:sz w:val="24"/>
                <w:szCs w:val="24"/>
                <w:lang w:eastAsia="en-GB"/>
              </w:rPr>
            </w:pPr>
            <w:r w:rsidRPr="003755B6">
              <w:rPr>
                <w:rFonts w:ascii="Arial" w:eastAsia="Times New Roman" w:hAnsi="Arial" w:cs="Arial"/>
                <w:b/>
                <w:bCs/>
                <w:color w:val="000000"/>
                <w:sz w:val="24"/>
                <w:szCs w:val="24"/>
                <w:lang w:eastAsia="en-GB"/>
              </w:rPr>
              <w:t>Change</w:t>
            </w:r>
          </w:p>
        </w:tc>
        <w:tc>
          <w:tcPr>
            <w:tcW w:w="1510" w:type="dxa"/>
            <w:shd w:val="clear" w:color="auto" w:fill="auto"/>
            <w:noWrap/>
            <w:vAlign w:val="center"/>
            <w:hideMark/>
          </w:tcPr>
          <w:p w14:paraId="5B7D8307" w14:textId="77777777" w:rsidR="001D6E0A" w:rsidRPr="003755B6" w:rsidRDefault="001D6E0A" w:rsidP="00045386">
            <w:pPr>
              <w:spacing w:after="0" w:line="240" w:lineRule="auto"/>
              <w:jc w:val="center"/>
              <w:rPr>
                <w:rFonts w:ascii="Arial" w:eastAsia="Times New Roman" w:hAnsi="Arial" w:cs="Arial"/>
                <w:b/>
                <w:bCs/>
                <w:color w:val="000000"/>
                <w:sz w:val="24"/>
                <w:szCs w:val="24"/>
                <w:lang w:eastAsia="en-GB"/>
              </w:rPr>
            </w:pPr>
            <w:r w:rsidRPr="003755B6">
              <w:rPr>
                <w:rFonts w:ascii="Arial" w:eastAsia="Times New Roman" w:hAnsi="Arial" w:cs="Arial"/>
                <w:b/>
                <w:bCs/>
                <w:color w:val="000000"/>
                <w:sz w:val="24"/>
                <w:szCs w:val="24"/>
                <w:lang w:eastAsia="en-GB"/>
              </w:rPr>
              <w:t>Percentage</w:t>
            </w:r>
          </w:p>
          <w:p w14:paraId="791880E7" w14:textId="56085BAA" w:rsidR="001D6E0A" w:rsidRPr="003755B6" w:rsidRDefault="009E1759" w:rsidP="00045386">
            <w:pPr>
              <w:spacing w:after="0" w:line="240" w:lineRule="auto"/>
              <w:jc w:val="center"/>
              <w:rPr>
                <w:rFonts w:ascii="Arial" w:eastAsia="Times New Roman" w:hAnsi="Arial" w:cs="Arial"/>
                <w:b/>
                <w:bCs/>
                <w:color w:val="000000"/>
                <w:sz w:val="24"/>
                <w:szCs w:val="24"/>
                <w:lang w:eastAsia="en-GB"/>
              </w:rPr>
            </w:pPr>
            <w:r w:rsidRPr="003755B6">
              <w:rPr>
                <w:rFonts w:ascii="Arial" w:eastAsia="Times New Roman" w:hAnsi="Arial" w:cs="Arial"/>
                <w:b/>
                <w:bCs/>
                <w:color w:val="000000"/>
                <w:sz w:val="24"/>
                <w:szCs w:val="24"/>
                <w:lang w:eastAsia="en-GB"/>
              </w:rPr>
              <w:t>C</w:t>
            </w:r>
            <w:r w:rsidR="001D6E0A" w:rsidRPr="003755B6">
              <w:rPr>
                <w:rFonts w:ascii="Arial" w:eastAsia="Times New Roman" w:hAnsi="Arial" w:cs="Arial"/>
                <w:b/>
                <w:bCs/>
                <w:color w:val="000000"/>
                <w:sz w:val="24"/>
                <w:szCs w:val="24"/>
                <w:lang w:eastAsia="en-GB"/>
              </w:rPr>
              <w:t>hange</w:t>
            </w:r>
          </w:p>
        </w:tc>
      </w:tr>
      <w:tr w:rsidR="001D6E0A" w:rsidRPr="003755B6" w14:paraId="4AEAB6BD" w14:textId="77777777" w:rsidTr="00045386">
        <w:trPr>
          <w:trHeight w:val="300"/>
        </w:trPr>
        <w:tc>
          <w:tcPr>
            <w:tcW w:w="1657" w:type="dxa"/>
            <w:shd w:val="clear" w:color="auto" w:fill="auto"/>
            <w:noWrap/>
            <w:vAlign w:val="center"/>
            <w:hideMark/>
          </w:tcPr>
          <w:p w14:paraId="33ABC9C2" w14:textId="77777777" w:rsidR="001D6E0A" w:rsidRPr="003755B6" w:rsidRDefault="001D6E0A" w:rsidP="00045386">
            <w:pPr>
              <w:spacing w:after="0" w:line="240" w:lineRule="auto"/>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0 to 3</w:t>
            </w:r>
          </w:p>
        </w:tc>
        <w:tc>
          <w:tcPr>
            <w:tcW w:w="1456" w:type="dxa"/>
            <w:shd w:val="clear" w:color="auto" w:fill="auto"/>
            <w:noWrap/>
            <w:vAlign w:val="center"/>
            <w:hideMark/>
          </w:tcPr>
          <w:p w14:paraId="6067D7EA" w14:textId="191FF362" w:rsidR="001D6E0A" w:rsidRPr="003755B6" w:rsidRDefault="001D6E0A" w:rsidP="001D6E0A">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13,</w:t>
            </w:r>
            <w:r w:rsidR="00D3536E" w:rsidRPr="003755B6">
              <w:rPr>
                <w:rFonts w:ascii="Arial" w:eastAsia="Times New Roman" w:hAnsi="Arial" w:cs="Arial"/>
                <w:color w:val="000000"/>
                <w:sz w:val="24"/>
                <w:szCs w:val="24"/>
                <w:lang w:eastAsia="en-GB"/>
              </w:rPr>
              <w:t>25</w:t>
            </w:r>
            <w:r w:rsidR="007D33AD" w:rsidRPr="003755B6">
              <w:rPr>
                <w:rFonts w:ascii="Arial" w:eastAsia="Times New Roman" w:hAnsi="Arial" w:cs="Arial"/>
                <w:color w:val="000000"/>
                <w:sz w:val="24"/>
                <w:szCs w:val="24"/>
                <w:lang w:eastAsia="en-GB"/>
              </w:rPr>
              <w:t>2</w:t>
            </w:r>
          </w:p>
        </w:tc>
        <w:tc>
          <w:tcPr>
            <w:tcW w:w="1456" w:type="dxa"/>
            <w:shd w:val="clear" w:color="auto" w:fill="auto"/>
            <w:noWrap/>
            <w:vAlign w:val="center"/>
            <w:hideMark/>
          </w:tcPr>
          <w:p w14:paraId="0AD30DF1" w14:textId="6585F742" w:rsidR="001D6E0A" w:rsidRPr="003755B6" w:rsidRDefault="009F700E" w:rsidP="001D6E0A">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1</w:t>
            </w:r>
            <w:r w:rsidR="0075091B" w:rsidRPr="003755B6">
              <w:rPr>
                <w:rFonts w:ascii="Arial" w:eastAsia="Times New Roman" w:hAnsi="Arial" w:cs="Arial"/>
                <w:color w:val="000000"/>
                <w:sz w:val="24"/>
                <w:szCs w:val="24"/>
                <w:lang w:eastAsia="en-GB"/>
              </w:rPr>
              <w:t>3,100</w:t>
            </w:r>
          </w:p>
        </w:tc>
        <w:tc>
          <w:tcPr>
            <w:tcW w:w="1097" w:type="dxa"/>
            <w:shd w:val="clear" w:color="auto" w:fill="auto"/>
            <w:noWrap/>
            <w:vAlign w:val="center"/>
            <w:hideMark/>
          </w:tcPr>
          <w:p w14:paraId="5DCA9989" w14:textId="542CDD72" w:rsidR="001D6E0A" w:rsidRPr="003755B6" w:rsidRDefault="001A3BE7" w:rsidP="009F700E">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-152</w:t>
            </w:r>
          </w:p>
        </w:tc>
        <w:tc>
          <w:tcPr>
            <w:tcW w:w="1510" w:type="dxa"/>
            <w:shd w:val="clear" w:color="auto" w:fill="auto"/>
            <w:noWrap/>
            <w:vAlign w:val="center"/>
            <w:hideMark/>
          </w:tcPr>
          <w:p w14:paraId="40710572" w14:textId="7364C119" w:rsidR="001D6E0A" w:rsidRPr="003755B6" w:rsidRDefault="0091763D" w:rsidP="009F700E">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-1.1</w:t>
            </w:r>
          </w:p>
        </w:tc>
      </w:tr>
      <w:tr w:rsidR="001D6E0A" w:rsidRPr="003755B6" w14:paraId="45B4B4DE" w14:textId="77777777" w:rsidTr="003166E7">
        <w:trPr>
          <w:trHeight w:val="300"/>
        </w:trPr>
        <w:tc>
          <w:tcPr>
            <w:tcW w:w="1657" w:type="dxa"/>
            <w:shd w:val="clear" w:color="auto" w:fill="auto"/>
            <w:noWrap/>
            <w:vAlign w:val="center"/>
            <w:hideMark/>
          </w:tcPr>
          <w:p w14:paraId="29713FB6" w14:textId="77777777" w:rsidR="001D6E0A" w:rsidRPr="003755B6" w:rsidRDefault="001D6E0A" w:rsidP="00045386">
            <w:pPr>
              <w:spacing w:after="0" w:line="240" w:lineRule="auto"/>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4 to 10</w:t>
            </w:r>
          </w:p>
        </w:tc>
        <w:tc>
          <w:tcPr>
            <w:tcW w:w="1456" w:type="dxa"/>
            <w:shd w:val="clear" w:color="auto" w:fill="auto"/>
            <w:noWrap/>
            <w:vAlign w:val="center"/>
          </w:tcPr>
          <w:p w14:paraId="78A5F4CB" w14:textId="0D1E12C7" w:rsidR="001D6E0A" w:rsidRPr="003755B6" w:rsidRDefault="003166E7" w:rsidP="00045386">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20,3</w:t>
            </w:r>
            <w:r w:rsidR="00B21F0F" w:rsidRPr="003755B6">
              <w:rPr>
                <w:rFonts w:ascii="Arial" w:eastAsia="Times New Roman" w:hAnsi="Arial" w:cs="Arial"/>
                <w:color w:val="000000"/>
                <w:sz w:val="24"/>
                <w:szCs w:val="24"/>
                <w:lang w:eastAsia="en-GB"/>
              </w:rPr>
              <w:t>1</w:t>
            </w:r>
            <w:r w:rsidR="000C4628" w:rsidRPr="003755B6">
              <w:rPr>
                <w:rFonts w:ascii="Arial" w:eastAsia="Times New Roman" w:hAnsi="Arial" w:cs="Arial"/>
                <w:color w:val="000000"/>
                <w:sz w:val="24"/>
                <w:szCs w:val="24"/>
                <w:lang w:eastAsia="en-GB"/>
              </w:rPr>
              <w:t>5</w:t>
            </w:r>
          </w:p>
        </w:tc>
        <w:tc>
          <w:tcPr>
            <w:tcW w:w="1456" w:type="dxa"/>
            <w:shd w:val="clear" w:color="auto" w:fill="auto"/>
            <w:noWrap/>
            <w:vAlign w:val="center"/>
          </w:tcPr>
          <w:p w14:paraId="11ACFB1F" w14:textId="0521B428" w:rsidR="001D6E0A" w:rsidRPr="003755B6" w:rsidRDefault="003166E7" w:rsidP="009F700E">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2</w:t>
            </w:r>
            <w:r w:rsidR="0075091B" w:rsidRPr="003755B6">
              <w:rPr>
                <w:rFonts w:ascii="Arial" w:eastAsia="Times New Roman" w:hAnsi="Arial" w:cs="Arial"/>
                <w:color w:val="000000"/>
                <w:sz w:val="24"/>
                <w:szCs w:val="24"/>
                <w:lang w:eastAsia="en-GB"/>
              </w:rPr>
              <w:t>2,207</w:t>
            </w:r>
          </w:p>
        </w:tc>
        <w:tc>
          <w:tcPr>
            <w:tcW w:w="1097" w:type="dxa"/>
            <w:shd w:val="clear" w:color="auto" w:fill="auto"/>
            <w:noWrap/>
            <w:vAlign w:val="center"/>
          </w:tcPr>
          <w:p w14:paraId="342A92FA" w14:textId="6B431B8D" w:rsidR="001D6E0A" w:rsidRPr="003755B6" w:rsidRDefault="0091763D" w:rsidP="009F700E">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1,892</w:t>
            </w:r>
          </w:p>
        </w:tc>
        <w:tc>
          <w:tcPr>
            <w:tcW w:w="1510" w:type="dxa"/>
            <w:shd w:val="clear" w:color="auto" w:fill="auto"/>
            <w:noWrap/>
            <w:vAlign w:val="center"/>
          </w:tcPr>
          <w:p w14:paraId="60555BEE" w14:textId="0D57EA5F" w:rsidR="001D6E0A" w:rsidRPr="003755B6" w:rsidRDefault="0091763D" w:rsidP="009F700E">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9.3</w:t>
            </w:r>
          </w:p>
        </w:tc>
      </w:tr>
      <w:tr w:rsidR="001D6E0A" w:rsidRPr="003755B6" w14:paraId="79753FF5" w14:textId="77777777" w:rsidTr="003166E7">
        <w:trPr>
          <w:trHeight w:val="300"/>
        </w:trPr>
        <w:tc>
          <w:tcPr>
            <w:tcW w:w="1657" w:type="dxa"/>
            <w:shd w:val="clear" w:color="auto" w:fill="auto"/>
            <w:noWrap/>
            <w:vAlign w:val="center"/>
            <w:hideMark/>
          </w:tcPr>
          <w:p w14:paraId="408B88B5" w14:textId="77777777" w:rsidR="001D6E0A" w:rsidRPr="003755B6" w:rsidRDefault="001D6E0A" w:rsidP="00045386">
            <w:pPr>
              <w:spacing w:after="0" w:line="240" w:lineRule="auto"/>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11 to 15</w:t>
            </w:r>
          </w:p>
        </w:tc>
        <w:tc>
          <w:tcPr>
            <w:tcW w:w="1456" w:type="dxa"/>
            <w:shd w:val="clear" w:color="auto" w:fill="auto"/>
            <w:noWrap/>
            <w:vAlign w:val="center"/>
          </w:tcPr>
          <w:p w14:paraId="44085C59" w14:textId="0B9FFF67" w:rsidR="000C4628" w:rsidRPr="003755B6" w:rsidRDefault="00C14E3E" w:rsidP="000C4628">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14,</w:t>
            </w:r>
            <w:r w:rsidR="000C4628" w:rsidRPr="003755B6">
              <w:rPr>
                <w:rFonts w:ascii="Arial" w:eastAsia="Times New Roman" w:hAnsi="Arial" w:cs="Arial"/>
                <w:color w:val="000000"/>
                <w:sz w:val="24"/>
                <w:szCs w:val="24"/>
                <w:lang w:eastAsia="en-GB"/>
              </w:rPr>
              <w:t>892</w:t>
            </w:r>
          </w:p>
        </w:tc>
        <w:tc>
          <w:tcPr>
            <w:tcW w:w="1456" w:type="dxa"/>
            <w:shd w:val="clear" w:color="auto" w:fill="auto"/>
            <w:noWrap/>
            <w:vAlign w:val="center"/>
          </w:tcPr>
          <w:p w14:paraId="0FCB9EF2" w14:textId="2D52A514" w:rsidR="001D6E0A" w:rsidRPr="003755B6" w:rsidRDefault="004F1CB6" w:rsidP="009F700E">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16,</w:t>
            </w:r>
            <w:r w:rsidR="0075091B" w:rsidRPr="003755B6">
              <w:rPr>
                <w:rFonts w:ascii="Arial" w:eastAsia="Times New Roman" w:hAnsi="Arial" w:cs="Arial"/>
                <w:color w:val="000000"/>
                <w:sz w:val="24"/>
                <w:szCs w:val="24"/>
                <w:lang w:eastAsia="en-GB"/>
              </w:rPr>
              <w:t>794</w:t>
            </w:r>
          </w:p>
        </w:tc>
        <w:tc>
          <w:tcPr>
            <w:tcW w:w="1097" w:type="dxa"/>
            <w:shd w:val="clear" w:color="auto" w:fill="auto"/>
            <w:noWrap/>
            <w:vAlign w:val="center"/>
          </w:tcPr>
          <w:p w14:paraId="119D70E0" w14:textId="0115AFD8" w:rsidR="001D6E0A" w:rsidRPr="003755B6" w:rsidRDefault="0091763D" w:rsidP="009F700E">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1,902</w:t>
            </w:r>
          </w:p>
        </w:tc>
        <w:tc>
          <w:tcPr>
            <w:tcW w:w="1510" w:type="dxa"/>
            <w:shd w:val="clear" w:color="auto" w:fill="auto"/>
            <w:noWrap/>
            <w:vAlign w:val="center"/>
          </w:tcPr>
          <w:p w14:paraId="5FFFF560" w14:textId="17757013" w:rsidR="001D6E0A" w:rsidRPr="003755B6" w:rsidRDefault="0071269B" w:rsidP="009F700E">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12.8</w:t>
            </w:r>
          </w:p>
        </w:tc>
      </w:tr>
      <w:tr w:rsidR="001D6E0A" w:rsidRPr="003755B6" w14:paraId="1AEC43C1" w14:textId="77777777" w:rsidTr="003166E7">
        <w:trPr>
          <w:trHeight w:val="300"/>
        </w:trPr>
        <w:tc>
          <w:tcPr>
            <w:tcW w:w="1657" w:type="dxa"/>
            <w:shd w:val="clear" w:color="auto" w:fill="auto"/>
            <w:noWrap/>
            <w:vAlign w:val="center"/>
            <w:hideMark/>
          </w:tcPr>
          <w:p w14:paraId="2223A346" w14:textId="71C8ABFB" w:rsidR="001D6E0A" w:rsidRPr="003755B6" w:rsidRDefault="00CF3317" w:rsidP="00045386">
            <w:pPr>
              <w:spacing w:after="0" w:line="240" w:lineRule="auto"/>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16 to 25</w:t>
            </w:r>
          </w:p>
        </w:tc>
        <w:tc>
          <w:tcPr>
            <w:tcW w:w="1456" w:type="dxa"/>
            <w:shd w:val="clear" w:color="auto" w:fill="auto"/>
            <w:noWrap/>
            <w:vAlign w:val="center"/>
          </w:tcPr>
          <w:p w14:paraId="4C3B8547" w14:textId="6FDCF8C4" w:rsidR="001D6E0A" w:rsidRPr="003755B6" w:rsidRDefault="00A87777" w:rsidP="00045386">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31,</w:t>
            </w:r>
            <w:r w:rsidR="000C4628" w:rsidRPr="003755B6">
              <w:rPr>
                <w:rFonts w:ascii="Arial" w:eastAsia="Times New Roman" w:hAnsi="Arial" w:cs="Arial"/>
                <w:color w:val="000000"/>
                <w:sz w:val="24"/>
                <w:szCs w:val="24"/>
                <w:lang w:eastAsia="en-GB"/>
              </w:rPr>
              <w:t>644</w:t>
            </w:r>
          </w:p>
        </w:tc>
        <w:tc>
          <w:tcPr>
            <w:tcW w:w="1456" w:type="dxa"/>
            <w:shd w:val="clear" w:color="auto" w:fill="auto"/>
            <w:noWrap/>
            <w:vAlign w:val="center"/>
          </w:tcPr>
          <w:p w14:paraId="2274CE42" w14:textId="23AED5BE" w:rsidR="001D6E0A" w:rsidRPr="003755B6" w:rsidRDefault="004F1CB6" w:rsidP="009F700E">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3</w:t>
            </w:r>
            <w:r w:rsidR="00570D36" w:rsidRPr="003755B6">
              <w:rPr>
                <w:rFonts w:ascii="Arial" w:eastAsia="Times New Roman" w:hAnsi="Arial" w:cs="Arial"/>
                <w:color w:val="000000"/>
                <w:sz w:val="24"/>
                <w:szCs w:val="24"/>
                <w:lang w:eastAsia="en-GB"/>
              </w:rPr>
              <w:t>1,020</w:t>
            </w:r>
          </w:p>
        </w:tc>
        <w:tc>
          <w:tcPr>
            <w:tcW w:w="1097" w:type="dxa"/>
            <w:shd w:val="clear" w:color="auto" w:fill="auto"/>
            <w:noWrap/>
            <w:vAlign w:val="center"/>
          </w:tcPr>
          <w:p w14:paraId="76198F2B" w14:textId="478B7D41" w:rsidR="001D6E0A" w:rsidRPr="003755B6" w:rsidRDefault="004F1CB6" w:rsidP="009F700E">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w:t>
            </w:r>
            <w:r w:rsidR="0071269B" w:rsidRPr="003755B6">
              <w:rPr>
                <w:rFonts w:ascii="Arial" w:eastAsia="Times New Roman" w:hAnsi="Arial" w:cs="Arial"/>
                <w:color w:val="000000"/>
                <w:sz w:val="24"/>
                <w:szCs w:val="24"/>
                <w:lang w:eastAsia="en-GB"/>
              </w:rPr>
              <w:t>624</w:t>
            </w:r>
          </w:p>
        </w:tc>
        <w:tc>
          <w:tcPr>
            <w:tcW w:w="1510" w:type="dxa"/>
            <w:shd w:val="clear" w:color="auto" w:fill="auto"/>
            <w:noWrap/>
            <w:vAlign w:val="center"/>
          </w:tcPr>
          <w:p w14:paraId="4D96529E" w14:textId="34FED977" w:rsidR="001D6E0A" w:rsidRPr="003755B6" w:rsidRDefault="004F1CB6" w:rsidP="009F700E">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w:t>
            </w:r>
            <w:r w:rsidR="0071269B" w:rsidRPr="003755B6">
              <w:rPr>
                <w:rFonts w:ascii="Arial" w:eastAsia="Times New Roman" w:hAnsi="Arial" w:cs="Arial"/>
                <w:color w:val="000000"/>
                <w:sz w:val="24"/>
                <w:szCs w:val="24"/>
                <w:lang w:eastAsia="en-GB"/>
              </w:rPr>
              <w:t>2.0</w:t>
            </w:r>
          </w:p>
        </w:tc>
      </w:tr>
      <w:tr w:rsidR="001D6E0A" w:rsidRPr="003755B6" w14:paraId="184EBB9B" w14:textId="77777777" w:rsidTr="003166E7">
        <w:trPr>
          <w:trHeight w:val="300"/>
        </w:trPr>
        <w:tc>
          <w:tcPr>
            <w:tcW w:w="1657" w:type="dxa"/>
            <w:shd w:val="clear" w:color="auto" w:fill="auto"/>
            <w:noWrap/>
            <w:vAlign w:val="center"/>
            <w:hideMark/>
          </w:tcPr>
          <w:p w14:paraId="74EFFA1C" w14:textId="6FCDE8D1" w:rsidR="001D6E0A" w:rsidRPr="003755B6" w:rsidRDefault="00CF3317" w:rsidP="00CF3317">
            <w:pPr>
              <w:spacing w:after="0" w:line="240" w:lineRule="auto"/>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26</w:t>
            </w:r>
            <w:r w:rsidR="001D6E0A" w:rsidRPr="003755B6">
              <w:rPr>
                <w:rFonts w:ascii="Arial" w:eastAsia="Times New Roman" w:hAnsi="Arial" w:cs="Arial"/>
                <w:color w:val="000000"/>
                <w:sz w:val="24"/>
                <w:szCs w:val="24"/>
                <w:lang w:eastAsia="en-GB"/>
              </w:rPr>
              <w:t xml:space="preserve"> to 64</w:t>
            </w:r>
          </w:p>
        </w:tc>
        <w:tc>
          <w:tcPr>
            <w:tcW w:w="1456" w:type="dxa"/>
            <w:shd w:val="clear" w:color="auto" w:fill="auto"/>
            <w:noWrap/>
            <w:vAlign w:val="center"/>
          </w:tcPr>
          <w:p w14:paraId="355AEA73" w14:textId="1A321202" w:rsidR="001D6E0A" w:rsidRPr="003755B6" w:rsidRDefault="00080604" w:rsidP="00045386">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126,5</w:t>
            </w:r>
            <w:r w:rsidR="000C4628" w:rsidRPr="003755B6">
              <w:rPr>
                <w:rFonts w:ascii="Arial" w:eastAsia="Times New Roman" w:hAnsi="Arial" w:cs="Arial"/>
                <w:color w:val="000000"/>
                <w:sz w:val="24"/>
                <w:szCs w:val="24"/>
                <w:lang w:eastAsia="en-GB"/>
              </w:rPr>
              <w:t>10</w:t>
            </w:r>
          </w:p>
        </w:tc>
        <w:tc>
          <w:tcPr>
            <w:tcW w:w="1456" w:type="dxa"/>
            <w:shd w:val="clear" w:color="auto" w:fill="auto"/>
            <w:noWrap/>
            <w:vAlign w:val="center"/>
          </w:tcPr>
          <w:p w14:paraId="7BE1155D" w14:textId="2DB0AE09" w:rsidR="001D6E0A" w:rsidRPr="003755B6" w:rsidRDefault="00554FE4" w:rsidP="009F700E">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13</w:t>
            </w:r>
            <w:r w:rsidR="00570D36" w:rsidRPr="003755B6">
              <w:rPr>
                <w:rFonts w:ascii="Arial" w:eastAsia="Times New Roman" w:hAnsi="Arial" w:cs="Arial"/>
                <w:color w:val="000000"/>
                <w:sz w:val="24"/>
                <w:szCs w:val="24"/>
                <w:lang w:eastAsia="en-GB"/>
              </w:rPr>
              <w:t>1,859</w:t>
            </w:r>
          </w:p>
        </w:tc>
        <w:tc>
          <w:tcPr>
            <w:tcW w:w="1097" w:type="dxa"/>
            <w:shd w:val="clear" w:color="auto" w:fill="auto"/>
            <w:noWrap/>
            <w:vAlign w:val="center"/>
          </w:tcPr>
          <w:p w14:paraId="04FD9DF4" w14:textId="122F0DAD" w:rsidR="001D6E0A" w:rsidRPr="003755B6" w:rsidRDefault="0071269B" w:rsidP="009F700E">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5</w:t>
            </w:r>
            <w:r w:rsidR="009F700E" w:rsidRPr="003755B6">
              <w:rPr>
                <w:rFonts w:ascii="Arial" w:eastAsia="Times New Roman" w:hAnsi="Arial" w:cs="Arial"/>
                <w:color w:val="000000"/>
                <w:sz w:val="24"/>
                <w:szCs w:val="24"/>
                <w:lang w:eastAsia="en-GB"/>
              </w:rPr>
              <w:t>,</w:t>
            </w:r>
            <w:r w:rsidRPr="003755B6">
              <w:rPr>
                <w:rFonts w:ascii="Arial" w:eastAsia="Times New Roman" w:hAnsi="Arial" w:cs="Arial"/>
                <w:color w:val="000000"/>
                <w:sz w:val="24"/>
                <w:szCs w:val="24"/>
                <w:lang w:eastAsia="en-GB"/>
              </w:rPr>
              <w:t>349</w:t>
            </w:r>
          </w:p>
        </w:tc>
        <w:tc>
          <w:tcPr>
            <w:tcW w:w="1510" w:type="dxa"/>
            <w:shd w:val="clear" w:color="auto" w:fill="auto"/>
            <w:noWrap/>
            <w:vAlign w:val="center"/>
          </w:tcPr>
          <w:p w14:paraId="10A15536" w14:textId="24D83EA2" w:rsidR="001D6E0A" w:rsidRPr="003755B6" w:rsidRDefault="0071269B" w:rsidP="009F700E">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4.2</w:t>
            </w:r>
          </w:p>
        </w:tc>
      </w:tr>
      <w:tr w:rsidR="001D6E0A" w:rsidRPr="003755B6" w14:paraId="0594B691" w14:textId="77777777" w:rsidTr="003166E7">
        <w:trPr>
          <w:trHeight w:val="300"/>
        </w:trPr>
        <w:tc>
          <w:tcPr>
            <w:tcW w:w="1657" w:type="dxa"/>
            <w:shd w:val="clear" w:color="auto" w:fill="auto"/>
            <w:noWrap/>
            <w:vAlign w:val="center"/>
            <w:hideMark/>
          </w:tcPr>
          <w:p w14:paraId="1F7FEB9F" w14:textId="77777777" w:rsidR="001D6E0A" w:rsidRPr="003755B6" w:rsidRDefault="001D6E0A" w:rsidP="00045386">
            <w:pPr>
              <w:spacing w:after="0" w:line="240" w:lineRule="auto"/>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65 and over</w:t>
            </w:r>
          </w:p>
        </w:tc>
        <w:tc>
          <w:tcPr>
            <w:tcW w:w="1456" w:type="dxa"/>
            <w:shd w:val="clear" w:color="auto" w:fill="auto"/>
            <w:noWrap/>
            <w:vAlign w:val="center"/>
          </w:tcPr>
          <w:p w14:paraId="097F0317" w14:textId="3A11820C" w:rsidR="001D6E0A" w:rsidRPr="003755B6" w:rsidRDefault="00080604" w:rsidP="00045386">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33,886</w:t>
            </w:r>
          </w:p>
        </w:tc>
        <w:tc>
          <w:tcPr>
            <w:tcW w:w="1456" w:type="dxa"/>
            <w:shd w:val="clear" w:color="auto" w:fill="auto"/>
            <w:noWrap/>
            <w:vAlign w:val="center"/>
          </w:tcPr>
          <w:p w14:paraId="68A6320A" w14:textId="452E2A4E" w:rsidR="001D6E0A" w:rsidRPr="003755B6" w:rsidRDefault="00080604" w:rsidP="00733DB3">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5</w:t>
            </w:r>
            <w:r w:rsidR="00570D36" w:rsidRPr="003755B6">
              <w:rPr>
                <w:rFonts w:ascii="Arial" w:eastAsia="Times New Roman" w:hAnsi="Arial" w:cs="Arial"/>
                <w:color w:val="000000"/>
                <w:sz w:val="24"/>
                <w:szCs w:val="24"/>
                <w:lang w:eastAsia="en-GB"/>
              </w:rPr>
              <w:t>2,808</w:t>
            </w:r>
          </w:p>
        </w:tc>
        <w:tc>
          <w:tcPr>
            <w:tcW w:w="1097" w:type="dxa"/>
            <w:shd w:val="clear" w:color="auto" w:fill="auto"/>
            <w:noWrap/>
            <w:vAlign w:val="center"/>
          </w:tcPr>
          <w:p w14:paraId="4ADA9BAC" w14:textId="3CA1A65C" w:rsidR="001D6E0A" w:rsidRPr="003755B6" w:rsidRDefault="00385086" w:rsidP="00733DB3">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18,922</w:t>
            </w:r>
          </w:p>
        </w:tc>
        <w:tc>
          <w:tcPr>
            <w:tcW w:w="1510" w:type="dxa"/>
            <w:shd w:val="clear" w:color="auto" w:fill="auto"/>
            <w:noWrap/>
            <w:vAlign w:val="center"/>
          </w:tcPr>
          <w:p w14:paraId="3F9300DB" w14:textId="26041FFD" w:rsidR="001D6E0A" w:rsidRPr="003755B6" w:rsidRDefault="00385086" w:rsidP="00733DB3">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55.8</w:t>
            </w:r>
          </w:p>
        </w:tc>
      </w:tr>
    </w:tbl>
    <w:p w14:paraId="7A10CEE0" w14:textId="5E377AD4" w:rsidR="001D6E0A" w:rsidRPr="003755B6" w:rsidRDefault="00936CB8" w:rsidP="00BB45FC">
      <w:pPr>
        <w:autoSpaceDE w:val="0"/>
        <w:autoSpaceDN w:val="0"/>
        <w:adjustRightInd w:val="0"/>
        <w:spacing w:after="0" w:line="240" w:lineRule="auto"/>
        <w:rPr>
          <w:rFonts w:ascii="Arial" w:hAnsi="Arial" w:cs="Arial"/>
          <w:sz w:val="20"/>
          <w:szCs w:val="20"/>
          <w:lang w:eastAsia="en-GB"/>
        </w:rPr>
      </w:pPr>
      <w:r w:rsidRPr="003755B6">
        <w:rPr>
          <w:rFonts w:ascii="Arial" w:hAnsi="Arial" w:cs="Arial"/>
          <w:sz w:val="20"/>
          <w:szCs w:val="20"/>
          <w:lang w:eastAsia="en-GB"/>
        </w:rPr>
        <w:t xml:space="preserve">Source: </w:t>
      </w:r>
      <w:r w:rsidR="00C27125" w:rsidRPr="003755B6">
        <w:rPr>
          <w:rFonts w:ascii="Arial" w:hAnsi="Arial" w:cs="Arial"/>
          <w:sz w:val="20"/>
          <w:szCs w:val="20"/>
          <w:lang w:eastAsia="en-GB"/>
        </w:rPr>
        <w:t>harrow_scenario_2_BPO_2019</w:t>
      </w:r>
    </w:p>
    <w:p w14:paraId="1498E998" w14:textId="77777777" w:rsidR="00936CB8" w:rsidRPr="003755B6" w:rsidRDefault="00936CB8" w:rsidP="00BB45FC">
      <w:pPr>
        <w:autoSpaceDE w:val="0"/>
        <w:autoSpaceDN w:val="0"/>
        <w:adjustRightInd w:val="0"/>
        <w:spacing w:after="0" w:line="240" w:lineRule="auto"/>
        <w:rPr>
          <w:rFonts w:ascii="Arial" w:hAnsi="Arial" w:cs="Arial"/>
          <w:sz w:val="24"/>
          <w:szCs w:val="24"/>
          <w:lang w:eastAsia="en-GB"/>
        </w:rPr>
      </w:pPr>
    </w:p>
    <w:p w14:paraId="6F29A1A0" w14:textId="77777777" w:rsidR="00F83F9D" w:rsidRPr="003755B6" w:rsidRDefault="00F83F9D" w:rsidP="00F446CA">
      <w:pPr>
        <w:spacing w:after="0"/>
        <w:rPr>
          <w:rFonts w:ascii="Arial" w:hAnsi="Arial" w:cs="Arial"/>
          <w:b/>
          <w:noProof/>
          <w:sz w:val="24"/>
          <w:szCs w:val="24"/>
          <w:lang w:eastAsia="en-GB"/>
        </w:rPr>
      </w:pPr>
    </w:p>
    <w:p w14:paraId="1259BAEE" w14:textId="77777777" w:rsidR="00F83F9D" w:rsidRPr="003755B6" w:rsidRDefault="00F83F9D" w:rsidP="00F446CA">
      <w:pPr>
        <w:spacing w:after="0"/>
        <w:rPr>
          <w:rFonts w:ascii="Arial" w:hAnsi="Arial" w:cs="Arial"/>
          <w:b/>
          <w:noProof/>
          <w:sz w:val="24"/>
          <w:szCs w:val="24"/>
          <w:lang w:eastAsia="en-GB"/>
        </w:rPr>
      </w:pPr>
    </w:p>
    <w:p w14:paraId="17FC28DA" w14:textId="77777777" w:rsidR="00F83F9D" w:rsidRPr="003755B6" w:rsidRDefault="00F83F9D" w:rsidP="00F446CA">
      <w:pPr>
        <w:spacing w:after="0"/>
        <w:rPr>
          <w:rFonts w:ascii="Arial" w:hAnsi="Arial" w:cs="Arial"/>
          <w:b/>
          <w:noProof/>
          <w:sz w:val="24"/>
          <w:szCs w:val="24"/>
          <w:lang w:eastAsia="en-GB"/>
        </w:rPr>
      </w:pPr>
    </w:p>
    <w:p w14:paraId="5D290BBD" w14:textId="1010F430" w:rsidR="00F41EAA" w:rsidRPr="003755B6" w:rsidRDefault="00D709CE" w:rsidP="00F446CA">
      <w:pPr>
        <w:spacing w:after="0"/>
        <w:rPr>
          <w:rFonts w:ascii="Arial" w:hAnsi="Arial" w:cs="Arial"/>
          <w:b/>
          <w:noProof/>
          <w:sz w:val="24"/>
          <w:szCs w:val="24"/>
          <w:lang w:eastAsia="en-GB"/>
        </w:rPr>
      </w:pPr>
      <w:r w:rsidRPr="003755B6">
        <w:rPr>
          <w:rFonts w:ascii="Arial" w:hAnsi="Arial" w:cs="Arial"/>
          <w:b/>
          <w:noProof/>
          <w:sz w:val="24"/>
          <w:szCs w:val="24"/>
          <w:lang w:eastAsia="en-GB"/>
        </w:rPr>
        <w:lastRenderedPageBreak/>
        <w:t>ONS 20</w:t>
      </w:r>
      <w:r w:rsidR="00C13C07" w:rsidRPr="003755B6">
        <w:rPr>
          <w:rFonts w:ascii="Arial" w:hAnsi="Arial" w:cs="Arial"/>
          <w:b/>
          <w:noProof/>
          <w:sz w:val="24"/>
          <w:szCs w:val="24"/>
          <w:lang w:eastAsia="en-GB"/>
        </w:rPr>
        <w:t>20</w:t>
      </w:r>
      <w:r w:rsidR="00F41EAA" w:rsidRPr="003755B6">
        <w:rPr>
          <w:rFonts w:ascii="Arial" w:hAnsi="Arial" w:cs="Arial"/>
          <w:b/>
          <w:noProof/>
          <w:sz w:val="24"/>
          <w:szCs w:val="24"/>
          <w:lang w:eastAsia="en-GB"/>
        </w:rPr>
        <w:t xml:space="preserve"> Mid Year Estimates (MYE)</w:t>
      </w:r>
    </w:p>
    <w:p w14:paraId="239A200F" w14:textId="26B29C77" w:rsidR="00824A11" w:rsidRPr="003755B6" w:rsidRDefault="00824A11" w:rsidP="00F446CA">
      <w:pPr>
        <w:spacing w:after="0"/>
        <w:rPr>
          <w:rFonts w:ascii="Arial" w:hAnsi="Arial" w:cs="Arial"/>
          <w:b/>
          <w:noProof/>
          <w:sz w:val="24"/>
          <w:szCs w:val="24"/>
          <w:lang w:eastAsia="en-GB"/>
        </w:rPr>
      </w:pPr>
    </w:p>
    <w:p w14:paraId="2D295993" w14:textId="02771233" w:rsidR="00594229" w:rsidRPr="003755B6" w:rsidRDefault="00594229" w:rsidP="00F446CA">
      <w:pPr>
        <w:spacing w:after="0"/>
        <w:rPr>
          <w:rFonts w:ascii="Arial" w:hAnsi="Arial" w:cs="Arial"/>
          <w:b/>
          <w:sz w:val="24"/>
          <w:szCs w:val="24"/>
        </w:rPr>
      </w:pPr>
      <w:r w:rsidRPr="003755B6">
        <w:rPr>
          <w:rFonts w:ascii="Arial" w:hAnsi="Arial" w:cs="Arial"/>
          <w:b/>
          <w:sz w:val="24"/>
          <w:szCs w:val="24"/>
        </w:rPr>
        <w:t>Harrow’s population</w:t>
      </w:r>
    </w:p>
    <w:p w14:paraId="5687FCE0" w14:textId="59DA9B25" w:rsidR="00E24202" w:rsidRPr="003755B6" w:rsidRDefault="00152284" w:rsidP="00EF4AFC">
      <w:pPr>
        <w:spacing w:after="0" w:line="240" w:lineRule="auto"/>
        <w:rPr>
          <w:rFonts w:ascii="Arial" w:hAnsi="Arial" w:cs="Arial"/>
          <w:sz w:val="24"/>
          <w:szCs w:val="24"/>
        </w:rPr>
      </w:pPr>
      <w:r w:rsidRPr="003755B6">
        <w:rPr>
          <w:rFonts w:ascii="Arial" w:hAnsi="Arial" w:cs="Arial"/>
          <w:sz w:val="24"/>
          <w:szCs w:val="24"/>
        </w:rPr>
        <w:t xml:space="preserve">Harrow’s population </w:t>
      </w:r>
      <w:r w:rsidR="00EF4AFC" w:rsidRPr="003755B6">
        <w:rPr>
          <w:rFonts w:ascii="Arial" w:hAnsi="Arial" w:cs="Arial"/>
          <w:sz w:val="24"/>
          <w:szCs w:val="24"/>
        </w:rPr>
        <w:t xml:space="preserve">has </w:t>
      </w:r>
      <w:r w:rsidRPr="003755B6">
        <w:rPr>
          <w:rFonts w:ascii="Arial" w:hAnsi="Arial" w:cs="Arial"/>
          <w:sz w:val="24"/>
          <w:szCs w:val="24"/>
        </w:rPr>
        <w:t>increased from 24</w:t>
      </w:r>
      <w:r w:rsidR="00EF4AFC" w:rsidRPr="003755B6">
        <w:rPr>
          <w:rFonts w:ascii="Arial" w:hAnsi="Arial" w:cs="Arial"/>
          <w:sz w:val="24"/>
          <w:szCs w:val="24"/>
        </w:rPr>
        <w:t>0</w:t>
      </w:r>
      <w:r w:rsidRPr="003755B6">
        <w:rPr>
          <w:rFonts w:ascii="Arial" w:hAnsi="Arial" w:cs="Arial"/>
          <w:sz w:val="24"/>
          <w:szCs w:val="24"/>
        </w:rPr>
        <w:t>,</w:t>
      </w:r>
      <w:r w:rsidR="00EF4AFC" w:rsidRPr="003755B6">
        <w:rPr>
          <w:rFonts w:ascii="Arial" w:hAnsi="Arial" w:cs="Arial"/>
          <w:sz w:val="24"/>
          <w:szCs w:val="24"/>
        </w:rPr>
        <w:t>499</w:t>
      </w:r>
      <w:r w:rsidRPr="003755B6">
        <w:rPr>
          <w:rFonts w:ascii="Arial" w:hAnsi="Arial" w:cs="Arial"/>
          <w:sz w:val="24"/>
          <w:szCs w:val="24"/>
        </w:rPr>
        <w:t xml:space="preserve"> in 201</w:t>
      </w:r>
      <w:r w:rsidR="00EF4AFC" w:rsidRPr="003755B6">
        <w:rPr>
          <w:rFonts w:ascii="Arial" w:hAnsi="Arial" w:cs="Arial"/>
          <w:sz w:val="24"/>
          <w:szCs w:val="24"/>
        </w:rPr>
        <w:t>1</w:t>
      </w:r>
      <w:r w:rsidRPr="003755B6">
        <w:rPr>
          <w:rFonts w:ascii="Arial" w:hAnsi="Arial" w:cs="Arial"/>
          <w:sz w:val="24"/>
          <w:szCs w:val="24"/>
        </w:rPr>
        <w:t xml:space="preserve"> to 25</w:t>
      </w:r>
      <w:r w:rsidR="00D27688" w:rsidRPr="003755B6">
        <w:rPr>
          <w:rFonts w:ascii="Arial" w:hAnsi="Arial" w:cs="Arial"/>
          <w:sz w:val="24"/>
          <w:szCs w:val="24"/>
        </w:rPr>
        <w:t>2</w:t>
      </w:r>
      <w:r w:rsidRPr="003755B6">
        <w:rPr>
          <w:rFonts w:ascii="Arial" w:hAnsi="Arial" w:cs="Arial"/>
          <w:sz w:val="24"/>
          <w:szCs w:val="24"/>
        </w:rPr>
        <w:t>,</w:t>
      </w:r>
      <w:r w:rsidR="00D27688" w:rsidRPr="003755B6">
        <w:rPr>
          <w:rFonts w:ascii="Arial" w:hAnsi="Arial" w:cs="Arial"/>
          <w:sz w:val="24"/>
          <w:szCs w:val="24"/>
        </w:rPr>
        <w:t>338</w:t>
      </w:r>
      <w:r w:rsidRPr="003755B6">
        <w:rPr>
          <w:rFonts w:ascii="Arial" w:hAnsi="Arial" w:cs="Arial"/>
          <w:sz w:val="24"/>
          <w:szCs w:val="24"/>
        </w:rPr>
        <w:t xml:space="preserve"> in 20</w:t>
      </w:r>
      <w:r w:rsidR="006D20BE" w:rsidRPr="003755B6">
        <w:rPr>
          <w:rFonts w:ascii="Arial" w:hAnsi="Arial" w:cs="Arial"/>
          <w:sz w:val="24"/>
          <w:szCs w:val="24"/>
        </w:rPr>
        <w:t xml:space="preserve">20, </w:t>
      </w:r>
      <w:r w:rsidR="00EF4AFC" w:rsidRPr="003755B6">
        <w:rPr>
          <w:rFonts w:ascii="Arial" w:hAnsi="Arial" w:cs="Arial"/>
          <w:sz w:val="24"/>
          <w:szCs w:val="24"/>
        </w:rPr>
        <w:t>increas</w:t>
      </w:r>
      <w:r w:rsidR="006D20BE" w:rsidRPr="003755B6">
        <w:rPr>
          <w:rFonts w:ascii="Arial" w:hAnsi="Arial" w:cs="Arial"/>
          <w:sz w:val="24"/>
          <w:szCs w:val="24"/>
        </w:rPr>
        <w:t xml:space="preserve">ing </w:t>
      </w:r>
      <w:r w:rsidR="00EF4AFC" w:rsidRPr="003755B6">
        <w:rPr>
          <w:rFonts w:ascii="Arial" w:hAnsi="Arial" w:cs="Arial"/>
          <w:sz w:val="24"/>
          <w:szCs w:val="24"/>
        </w:rPr>
        <w:t>by 1,</w:t>
      </w:r>
      <w:r w:rsidR="006D20BE" w:rsidRPr="003755B6">
        <w:rPr>
          <w:rFonts w:ascii="Arial" w:hAnsi="Arial" w:cs="Arial"/>
          <w:sz w:val="24"/>
          <w:szCs w:val="24"/>
        </w:rPr>
        <w:t>178</w:t>
      </w:r>
      <w:r w:rsidR="00EF4AFC" w:rsidRPr="003755B6">
        <w:rPr>
          <w:rFonts w:ascii="Arial" w:hAnsi="Arial" w:cs="Arial"/>
          <w:sz w:val="24"/>
          <w:szCs w:val="24"/>
        </w:rPr>
        <w:t xml:space="preserve"> </w:t>
      </w:r>
      <w:r w:rsidR="006D20BE" w:rsidRPr="003755B6">
        <w:rPr>
          <w:rFonts w:ascii="Arial" w:hAnsi="Arial" w:cs="Arial"/>
          <w:sz w:val="24"/>
          <w:szCs w:val="24"/>
        </w:rPr>
        <w:t xml:space="preserve">from </w:t>
      </w:r>
      <w:r w:rsidRPr="003755B6">
        <w:rPr>
          <w:rFonts w:ascii="Arial" w:hAnsi="Arial" w:cs="Arial"/>
          <w:sz w:val="24"/>
          <w:szCs w:val="24"/>
        </w:rPr>
        <w:t>2019</w:t>
      </w:r>
      <w:r w:rsidR="00766BB4" w:rsidRPr="003755B6">
        <w:rPr>
          <w:rFonts w:ascii="Arial" w:hAnsi="Arial" w:cs="Arial"/>
          <w:sz w:val="24"/>
          <w:szCs w:val="24"/>
        </w:rPr>
        <w:t xml:space="preserve"> to 2020</w:t>
      </w:r>
      <w:r w:rsidRPr="003755B6">
        <w:rPr>
          <w:rFonts w:ascii="Arial" w:hAnsi="Arial" w:cs="Arial"/>
          <w:sz w:val="24"/>
          <w:szCs w:val="24"/>
        </w:rPr>
        <w:t>.</w:t>
      </w:r>
    </w:p>
    <w:p w14:paraId="1AA5097B" w14:textId="0D11A5C2" w:rsidR="00E24202" w:rsidRPr="003755B6" w:rsidRDefault="00E24202" w:rsidP="00EF4AFC">
      <w:pPr>
        <w:spacing w:after="0" w:line="240" w:lineRule="auto"/>
        <w:rPr>
          <w:rFonts w:ascii="Arial" w:hAnsi="Arial" w:cs="Arial"/>
        </w:rPr>
      </w:pPr>
    </w:p>
    <w:tbl>
      <w:tblPr>
        <w:tblW w:w="10627" w:type="dxa"/>
        <w:jc w:val="center"/>
        <w:tblLook w:val="04A0" w:firstRow="1" w:lastRow="0" w:firstColumn="1" w:lastColumn="0" w:noHBand="0" w:noVBand="1"/>
      </w:tblPr>
      <w:tblGrid>
        <w:gridCol w:w="1186"/>
        <w:gridCol w:w="939"/>
        <w:gridCol w:w="939"/>
        <w:gridCol w:w="939"/>
        <w:gridCol w:w="950"/>
        <w:gridCol w:w="991"/>
        <w:gridCol w:w="991"/>
        <w:gridCol w:w="991"/>
        <w:gridCol w:w="992"/>
        <w:gridCol w:w="939"/>
        <w:gridCol w:w="939"/>
      </w:tblGrid>
      <w:tr w:rsidR="00342307" w:rsidRPr="003755B6" w14:paraId="2C239B09" w14:textId="0714BF2C" w:rsidTr="009801EB">
        <w:trPr>
          <w:trHeight w:val="290"/>
          <w:jc w:val="center"/>
        </w:trPr>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967205" w14:textId="77777777" w:rsidR="00342307" w:rsidRPr="003755B6" w:rsidRDefault="00342307" w:rsidP="009801EB">
            <w:pPr>
              <w:spacing w:after="0" w:line="240" w:lineRule="auto"/>
              <w:rPr>
                <w:rFonts w:ascii="Arial" w:eastAsia="Times New Roman" w:hAnsi="Arial" w:cs="Arial"/>
                <w:color w:val="000000"/>
                <w:sz w:val="20"/>
                <w:szCs w:val="20"/>
                <w:lang w:eastAsia="en-GB"/>
              </w:rPr>
            </w:pPr>
            <w:r w:rsidRPr="003755B6">
              <w:rPr>
                <w:rFonts w:ascii="Arial" w:eastAsia="Times New Roman" w:hAnsi="Arial" w:cs="Arial"/>
                <w:color w:val="000000"/>
                <w:sz w:val="20"/>
                <w:szCs w:val="20"/>
                <w:lang w:eastAsia="en-GB"/>
              </w:rPr>
              <w:t>Harrow</w:t>
            </w:r>
          </w:p>
        </w:tc>
        <w:tc>
          <w:tcPr>
            <w:tcW w:w="937" w:type="dxa"/>
            <w:tcBorders>
              <w:top w:val="single" w:sz="4" w:space="0" w:color="auto"/>
              <w:left w:val="nil"/>
              <w:bottom w:val="single" w:sz="4" w:space="0" w:color="auto"/>
              <w:right w:val="single" w:sz="4" w:space="0" w:color="auto"/>
            </w:tcBorders>
            <w:shd w:val="clear" w:color="000000" w:fill="FFFFFF"/>
            <w:noWrap/>
            <w:vAlign w:val="center"/>
            <w:hideMark/>
          </w:tcPr>
          <w:p w14:paraId="3DA0EED3" w14:textId="77777777" w:rsidR="00342307" w:rsidRPr="003755B6" w:rsidRDefault="00342307" w:rsidP="009801EB">
            <w:pPr>
              <w:spacing w:after="0" w:line="240" w:lineRule="auto"/>
              <w:jc w:val="center"/>
              <w:rPr>
                <w:rFonts w:ascii="Arial" w:eastAsia="Times New Roman" w:hAnsi="Arial" w:cs="Arial"/>
                <w:b/>
                <w:bCs/>
                <w:color w:val="000000"/>
                <w:sz w:val="20"/>
                <w:szCs w:val="20"/>
                <w:lang w:eastAsia="en-GB"/>
              </w:rPr>
            </w:pPr>
            <w:r w:rsidRPr="003755B6">
              <w:rPr>
                <w:rFonts w:ascii="Arial" w:eastAsia="Times New Roman" w:hAnsi="Arial" w:cs="Arial"/>
                <w:b/>
                <w:bCs/>
                <w:color w:val="000000"/>
                <w:sz w:val="20"/>
                <w:szCs w:val="20"/>
                <w:lang w:eastAsia="en-GB"/>
              </w:rPr>
              <w:t>mid-2011</w:t>
            </w:r>
          </w:p>
        </w:tc>
        <w:tc>
          <w:tcPr>
            <w:tcW w:w="937" w:type="dxa"/>
            <w:tcBorders>
              <w:top w:val="single" w:sz="4" w:space="0" w:color="auto"/>
              <w:left w:val="nil"/>
              <w:bottom w:val="single" w:sz="4" w:space="0" w:color="auto"/>
              <w:right w:val="single" w:sz="4" w:space="0" w:color="auto"/>
            </w:tcBorders>
            <w:shd w:val="clear" w:color="000000" w:fill="FFFFFF"/>
            <w:noWrap/>
            <w:vAlign w:val="center"/>
            <w:hideMark/>
          </w:tcPr>
          <w:p w14:paraId="61F6F9A7" w14:textId="77777777" w:rsidR="00342307" w:rsidRPr="003755B6" w:rsidRDefault="00342307" w:rsidP="009801EB">
            <w:pPr>
              <w:spacing w:after="0" w:line="240" w:lineRule="auto"/>
              <w:jc w:val="center"/>
              <w:rPr>
                <w:rFonts w:ascii="Arial" w:eastAsia="Times New Roman" w:hAnsi="Arial" w:cs="Arial"/>
                <w:b/>
                <w:bCs/>
                <w:color w:val="000000"/>
                <w:sz w:val="20"/>
                <w:szCs w:val="20"/>
                <w:lang w:eastAsia="en-GB"/>
              </w:rPr>
            </w:pPr>
            <w:r w:rsidRPr="003755B6">
              <w:rPr>
                <w:rFonts w:ascii="Arial" w:eastAsia="Times New Roman" w:hAnsi="Arial" w:cs="Arial"/>
                <w:b/>
                <w:bCs/>
                <w:color w:val="000000"/>
                <w:sz w:val="20"/>
                <w:szCs w:val="20"/>
                <w:lang w:eastAsia="en-GB"/>
              </w:rPr>
              <w:t>mid-2012</w:t>
            </w:r>
          </w:p>
        </w:tc>
        <w:tc>
          <w:tcPr>
            <w:tcW w:w="938" w:type="dxa"/>
            <w:tcBorders>
              <w:top w:val="single" w:sz="4" w:space="0" w:color="auto"/>
              <w:left w:val="nil"/>
              <w:bottom w:val="single" w:sz="4" w:space="0" w:color="auto"/>
              <w:right w:val="single" w:sz="4" w:space="0" w:color="auto"/>
            </w:tcBorders>
            <w:shd w:val="clear" w:color="000000" w:fill="FFFFFF"/>
            <w:noWrap/>
            <w:vAlign w:val="center"/>
            <w:hideMark/>
          </w:tcPr>
          <w:p w14:paraId="5AD4762D" w14:textId="77777777" w:rsidR="00342307" w:rsidRPr="003755B6" w:rsidRDefault="00342307" w:rsidP="009801EB">
            <w:pPr>
              <w:spacing w:after="0" w:line="240" w:lineRule="auto"/>
              <w:jc w:val="center"/>
              <w:rPr>
                <w:rFonts w:ascii="Arial" w:eastAsia="Times New Roman" w:hAnsi="Arial" w:cs="Arial"/>
                <w:b/>
                <w:bCs/>
                <w:color w:val="000000"/>
                <w:sz w:val="20"/>
                <w:szCs w:val="20"/>
                <w:lang w:eastAsia="en-GB"/>
              </w:rPr>
            </w:pPr>
            <w:r w:rsidRPr="003755B6">
              <w:rPr>
                <w:rFonts w:ascii="Arial" w:eastAsia="Times New Roman" w:hAnsi="Arial" w:cs="Arial"/>
                <w:b/>
                <w:bCs/>
                <w:color w:val="000000"/>
                <w:sz w:val="20"/>
                <w:szCs w:val="20"/>
                <w:lang w:eastAsia="en-GB"/>
              </w:rPr>
              <w:t>mid-2013</w:t>
            </w:r>
          </w:p>
        </w:tc>
        <w:tc>
          <w:tcPr>
            <w:tcW w:w="950" w:type="dxa"/>
            <w:tcBorders>
              <w:top w:val="single" w:sz="4" w:space="0" w:color="auto"/>
              <w:left w:val="nil"/>
              <w:bottom w:val="single" w:sz="4" w:space="0" w:color="auto"/>
              <w:right w:val="single" w:sz="4" w:space="0" w:color="auto"/>
            </w:tcBorders>
            <w:shd w:val="clear" w:color="000000" w:fill="FFFFFF"/>
            <w:noWrap/>
            <w:vAlign w:val="center"/>
            <w:hideMark/>
          </w:tcPr>
          <w:p w14:paraId="23C67584" w14:textId="77777777" w:rsidR="00342307" w:rsidRPr="003755B6" w:rsidRDefault="00342307" w:rsidP="009801EB">
            <w:pPr>
              <w:spacing w:after="0" w:line="240" w:lineRule="auto"/>
              <w:jc w:val="center"/>
              <w:rPr>
                <w:rFonts w:ascii="Arial" w:eastAsia="Times New Roman" w:hAnsi="Arial" w:cs="Arial"/>
                <w:b/>
                <w:bCs/>
                <w:color w:val="000000"/>
                <w:sz w:val="20"/>
                <w:szCs w:val="20"/>
                <w:lang w:eastAsia="en-GB"/>
              </w:rPr>
            </w:pPr>
            <w:r w:rsidRPr="003755B6">
              <w:rPr>
                <w:rFonts w:ascii="Arial" w:eastAsia="Times New Roman" w:hAnsi="Arial" w:cs="Arial"/>
                <w:b/>
                <w:bCs/>
                <w:color w:val="000000"/>
                <w:sz w:val="20"/>
                <w:szCs w:val="20"/>
                <w:lang w:eastAsia="en-GB"/>
              </w:rPr>
              <w:t>mid-2014</w:t>
            </w:r>
          </w:p>
        </w:tc>
        <w:tc>
          <w:tcPr>
            <w:tcW w:w="991" w:type="dxa"/>
            <w:tcBorders>
              <w:top w:val="single" w:sz="4" w:space="0" w:color="auto"/>
              <w:left w:val="nil"/>
              <w:bottom w:val="single" w:sz="4" w:space="0" w:color="auto"/>
              <w:right w:val="single" w:sz="4" w:space="0" w:color="auto"/>
            </w:tcBorders>
            <w:shd w:val="clear" w:color="000000" w:fill="FFFFFF"/>
            <w:noWrap/>
            <w:vAlign w:val="center"/>
            <w:hideMark/>
          </w:tcPr>
          <w:p w14:paraId="0F970247" w14:textId="77777777" w:rsidR="00342307" w:rsidRPr="003755B6" w:rsidRDefault="00342307" w:rsidP="009801EB">
            <w:pPr>
              <w:spacing w:after="0" w:line="240" w:lineRule="auto"/>
              <w:jc w:val="center"/>
              <w:rPr>
                <w:rFonts w:ascii="Arial" w:eastAsia="Times New Roman" w:hAnsi="Arial" w:cs="Arial"/>
                <w:b/>
                <w:bCs/>
                <w:color w:val="000000"/>
                <w:sz w:val="20"/>
                <w:szCs w:val="20"/>
                <w:lang w:eastAsia="en-GB"/>
              </w:rPr>
            </w:pPr>
            <w:r w:rsidRPr="003755B6">
              <w:rPr>
                <w:rFonts w:ascii="Arial" w:eastAsia="Times New Roman" w:hAnsi="Arial" w:cs="Arial"/>
                <w:b/>
                <w:bCs/>
                <w:color w:val="000000"/>
                <w:sz w:val="20"/>
                <w:szCs w:val="20"/>
                <w:lang w:eastAsia="en-GB"/>
              </w:rPr>
              <w:t>mid-2015</w:t>
            </w:r>
          </w:p>
        </w:tc>
        <w:tc>
          <w:tcPr>
            <w:tcW w:w="991" w:type="dxa"/>
            <w:tcBorders>
              <w:top w:val="single" w:sz="4" w:space="0" w:color="auto"/>
              <w:left w:val="nil"/>
              <w:bottom w:val="single" w:sz="4" w:space="0" w:color="auto"/>
              <w:right w:val="single" w:sz="4" w:space="0" w:color="auto"/>
            </w:tcBorders>
            <w:shd w:val="clear" w:color="000000" w:fill="FFFFFF"/>
            <w:noWrap/>
            <w:vAlign w:val="center"/>
            <w:hideMark/>
          </w:tcPr>
          <w:p w14:paraId="2F3F0F8C" w14:textId="77777777" w:rsidR="00342307" w:rsidRPr="003755B6" w:rsidRDefault="00342307" w:rsidP="009801EB">
            <w:pPr>
              <w:spacing w:after="0" w:line="240" w:lineRule="auto"/>
              <w:jc w:val="center"/>
              <w:rPr>
                <w:rFonts w:ascii="Arial" w:eastAsia="Times New Roman" w:hAnsi="Arial" w:cs="Arial"/>
                <w:b/>
                <w:bCs/>
                <w:color w:val="000000"/>
                <w:sz w:val="20"/>
                <w:szCs w:val="20"/>
                <w:lang w:eastAsia="en-GB"/>
              </w:rPr>
            </w:pPr>
            <w:r w:rsidRPr="003755B6">
              <w:rPr>
                <w:rFonts w:ascii="Arial" w:eastAsia="Times New Roman" w:hAnsi="Arial" w:cs="Arial"/>
                <w:b/>
                <w:bCs/>
                <w:color w:val="000000"/>
                <w:sz w:val="20"/>
                <w:szCs w:val="20"/>
                <w:lang w:eastAsia="en-GB"/>
              </w:rPr>
              <w:t>mid-2016</w:t>
            </w:r>
          </w:p>
        </w:tc>
        <w:tc>
          <w:tcPr>
            <w:tcW w:w="991" w:type="dxa"/>
            <w:tcBorders>
              <w:top w:val="single" w:sz="4" w:space="0" w:color="auto"/>
              <w:left w:val="nil"/>
              <w:bottom w:val="single" w:sz="4" w:space="0" w:color="auto"/>
              <w:right w:val="single" w:sz="4" w:space="0" w:color="auto"/>
            </w:tcBorders>
            <w:shd w:val="clear" w:color="000000" w:fill="FFFFFF"/>
            <w:noWrap/>
            <w:vAlign w:val="center"/>
            <w:hideMark/>
          </w:tcPr>
          <w:p w14:paraId="214438B7" w14:textId="77777777" w:rsidR="00342307" w:rsidRPr="003755B6" w:rsidRDefault="00342307" w:rsidP="009801EB">
            <w:pPr>
              <w:spacing w:after="0" w:line="240" w:lineRule="auto"/>
              <w:jc w:val="center"/>
              <w:rPr>
                <w:rFonts w:ascii="Arial" w:eastAsia="Times New Roman" w:hAnsi="Arial" w:cs="Arial"/>
                <w:b/>
                <w:bCs/>
                <w:color w:val="000000"/>
                <w:sz w:val="20"/>
                <w:szCs w:val="20"/>
                <w:lang w:eastAsia="en-GB"/>
              </w:rPr>
            </w:pPr>
            <w:r w:rsidRPr="003755B6">
              <w:rPr>
                <w:rFonts w:ascii="Arial" w:eastAsia="Times New Roman" w:hAnsi="Arial" w:cs="Arial"/>
                <w:b/>
                <w:bCs/>
                <w:color w:val="000000"/>
                <w:sz w:val="20"/>
                <w:szCs w:val="20"/>
                <w:lang w:eastAsia="en-GB"/>
              </w:rPr>
              <w:t>mid-2017</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51408990" w14:textId="77777777" w:rsidR="00342307" w:rsidRPr="003755B6" w:rsidRDefault="00342307" w:rsidP="009801EB">
            <w:pPr>
              <w:spacing w:after="0" w:line="240" w:lineRule="auto"/>
              <w:jc w:val="center"/>
              <w:rPr>
                <w:rFonts w:ascii="Arial" w:eastAsia="Times New Roman" w:hAnsi="Arial" w:cs="Arial"/>
                <w:b/>
                <w:bCs/>
                <w:color w:val="000000"/>
                <w:sz w:val="20"/>
                <w:szCs w:val="20"/>
                <w:lang w:eastAsia="en-GB"/>
              </w:rPr>
            </w:pPr>
            <w:r w:rsidRPr="003755B6">
              <w:rPr>
                <w:rFonts w:ascii="Arial" w:eastAsia="Times New Roman" w:hAnsi="Arial" w:cs="Arial"/>
                <w:b/>
                <w:bCs/>
                <w:color w:val="000000"/>
                <w:sz w:val="20"/>
                <w:szCs w:val="20"/>
                <w:lang w:eastAsia="en-GB"/>
              </w:rPr>
              <w:t>mid-2018</w:t>
            </w:r>
          </w:p>
        </w:tc>
        <w:tc>
          <w:tcPr>
            <w:tcW w:w="938" w:type="dxa"/>
            <w:tcBorders>
              <w:top w:val="single" w:sz="4" w:space="0" w:color="auto"/>
              <w:left w:val="nil"/>
              <w:bottom w:val="single" w:sz="4" w:space="0" w:color="auto"/>
              <w:right w:val="single" w:sz="4" w:space="0" w:color="auto"/>
            </w:tcBorders>
            <w:shd w:val="clear" w:color="000000" w:fill="FFFFFF"/>
            <w:noWrap/>
            <w:vAlign w:val="center"/>
            <w:hideMark/>
          </w:tcPr>
          <w:p w14:paraId="33EA4549" w14:textId="77777777" w:rsidR="00342307" w:rsidRPr="003755B6" w:rsidRDefault="00342307" w:rsidP="009801EB">
            <w:pPr>
              <w:spacing w:after="0" w:line="240" w:lineRule="auto"/>
              <w:jc w:val="center"/>
              <w:rPr>
                <w:rFonts w:ascii="Arial" w:eastAsia="Times New Roman" w:hAnsi="Arial" w:cs="Arial"/>
                <w:b/>
                <w:bCs/>
                <w:color w:val="000000"/>
                <w:sz w:val="20"/>
                <w:szCs w:val="20"/>
                <w:lang w:eastAsia="en-GB"/>
              </w:rPr>
            </w:pPr>
            <w:r w:rsidRPr="003755B6">
              <w:rPr>
                <w:rFonts w:ascii="Arial" w:eastAsia="Times New Roman" w:hAnsi="Arial" w:cs="Arial"/>
                <w:b/>
                <w:bCs/>
                <w:color w:val="000000"/>
                <w:sz w:val="20"/>
                <w:szCs w:val="20"/>
                <w:lang w:eastAsia="en-GB"/>
              </w:rPr>
              <w:t>mid-2019</w:t>
            </w:r>
          </w:p>
        </w:tc>
        <w:tc>
          <w:tcPr>
            <w:tcW w:w="776" w:type="dxa"/>
            <w:tcBorders>
              <w:top w:val="single" w:sz="4" w:space="0" w:color="auto"/>
              <w:left w:val="nil"/>
              <w:bottom w:val="single" w:sz="4" w:space="0" w:color="auto"/>
              <w:right w:val="single" w:sz="4" w:space="0" w:color="auto"/>
            </w:tcBorders>
            <w:shd w:val="clear" w:color="000000" w:fill="FFFFFF"/>
            <w:vAlign w:val="center"/>
          </w:tcPr>
          <w:p w14:paraId="41F6A372" w14:textId="78642010" w:rsidR="00342307" w:rsidRPr="003755B6" w:rsidRDefault="009801EB" w:rsidP="009801EB">
            <w:pPr>
              <w:spacing w:after="0" w:line="240" w:lineRule="auto"/>
              <w:jc w:val="center"/>
              <w:rPr>
                <w:rFonts w:ascii="Arial" w:eastAsia="Times New Roman" w:hAnsi="Arial" w:cs="Arial"/>
                <w:b/>
                <w:bCs/>
                <w:color w:val="000000"/>
                <w:sz w:val="20"/>
                <w:szCs w:val="20"/>
                <w:lang w:eastAsia="en-GB"/>
              </w:rPr>
            </w:pPr>
            <w:r w:rsidRPr="003755B6">
              <w:rPr>
                <w:rFonts w:ascii="Arial" w:eastAsia="Times New Roman" w:hAnsi="Arial" w:cs="Arial"/>
                <w:b/>
                <w:bCs/>
                <w:color w:val="000000"/>
                <w:sz w:val="20"/>
                <w:szCs w:val="20"/>
                <w:lang w:eastAsia="en-GB"/>
              </w:rPr>
              <w:t>m</w:t>
            </w:r>
            <w:r w:rsidR="00342307" w:rsidRPr="003755B6">
              <w:rPr>
                <w:rFonts w:ascii="Arial" w:eastAsia="Times New Roman" w:hAnsi="Arial" w:cs="Arial"/>
                <w:b/>
                <w:bCs/>
                <w:color w:val="000000"/>
                <w:sz w:val="20"/>
                <w:szCs w:val="20"/>
                <w:lang w:eastAsia="en-GB"/>
              </w:rPr>
              <w:t>id</w:t>
            </w:r>
            <w:r w:rsidRPr="003755B6">
              <w:rPr>
                <w:rFonts w:ascii="Arial" w:eastAsia="Times New Roman" w:hAnsi="Arial" w:cs="Arial"/>
                <w:b/>
                <w:bCs/>
                <w:color w:val="000000"/>
                <w:sz w:val="20"/>
                <w:szCs w:val="20"/>
                <w:lang w:eastAsia="en-GB"/>
              </w:rPr>
              <w:t>-2020</w:t>
            </w:r>
          </w:p>
        </w:tc>
      </w:tr>
      <w:tr w:rsidR="00342307" w:rsidRPr="003755B6" w14:paraId="41175AB5" w14:textId="46BAC619" w:rsidTr="009801EB">
        <w:trPr>
          <w:trHeight w:val="290"/>
          <w:jc w:val="center"/>
        </w:trPr>
        <w:tc>
          <w:tcPr>
            <w:tcW w:w="1186" w:type="dxa"/>
            <w:tcBorders>
              <w:top w:val="nil"/>
              <w:left w:val="single" w:sz="4" w:space="0" w:color="auto"/>
              <w:bottom w:val="single" w:sz="4" w:space="0" w:color="auto"/>
              <w:right w:val="single" w:sz="4" w:space="0" w:color="auto"/>
            </w:tcBorders>
            <w:shd w:val="clear" w:color="000000" w:fill="FFFFFF"/>
            <w:noWrap/>
            <w:vAlign w:val="center"/>
            <w:hideMark/>
          </w:tcPr>
          <w:p w14:paraId="6CFF846E" w14:textId="77777777" w:rsidR="00342307" w:rsidRPr="003755B6" w:rsidRDefault="00342307" w:rsidP="009801EB">
            <w:pPr>
              <w:spacing w:after="0" w:line="240" w:lineRule="auto"/>
              <w:rPr>
                <w:rFonts w:ascii="Arial" w:eastAsia="Times New Roman" w:hAnsi="Arial" w:cs="Arial"/>
                <w:color w:val="000000"/>
                <w:sz w:val="20"/>
                <w:szCs w:val="20"/>
                <w:lang w:eastAsia="en-GB"/>
              </w:rPr>
            </w:pPr>
            <w:r w:rsidRPr="003755B6">
              <w:rPr>
                <w:rFonts w:ascii="Arial" w:eastAsia="Times New Roman" w:hAnsi="Arial" w:cs="Arial"/>
                <w:color w:val="000000"/>
                <w:sz w:val="20"/>
                <w:szCs w:val="20"/>
                <w:lang w:eastAsia="en-GB"/>
              </w:rPr>
              <w:t>Population</w:t>
            </w:r>
          </w:p>
        </w:tc>
        <w:tc>
          <w:tcPr>
            <w:tcW w:w="937" w:type="dxa"/>
            <w:tcBorders>
              <w:top w:val="nil"/>
              <w:left w:val="nil"/>
              <w:bottom w:val="single" w:sz="4" w:space="0" w:color="auto"/>
              <w:right w:val="single" w:sz="4" w:space="0" w:color="auto"/>
            </w:tcBorders>
            <w:shd w:val="clear" w:color="000000" w:fill="FFFFFF"/>
            <w:noWrap/>
            <w:vAlign w:val="center"/>
            <w:hideMark/>
          </w:tcPr>
          <w:p w14:paraId="218859D6" w14:textId="77777777" w:rsidR="00342307" w:rsidRPr="003755B6" w:rsidRDefault="00342307" w:rsidP="009801EB">
            <w:pPr>
              <w:spacing w:after="0" w:line="240" w:lineRule="auto"/>
              <w:jc w:val="center"/>
              <w:rPr>
                <w:rFonts w:ascii="Arial" w:eastAsia="Times New Roman" w:hAnsi="Arial" w:cs="Arial"/>
                <w:color w:val="000000"/>
                <w:sz w:val="20"/>
                <w:szCs w:val="20"/>
                <w:lang w:eastAsia="en-GB"/>
              </w:rPr>
            </w:pPr>
            <w:r w:rsidRPr="003755B6">
              <w:rPr>
                <w:rFonts w:ascii="Arial" w:eastAsia="Times New Roman" w:hAnsi="Arial" w:cs="Arial"/>
                <w:color w:val="000000"/>
                <w:sz w:val="20"/>
                <w:szCs w:val="20"/>
                <w:lang w:eastAsia="en-GB"/>
              </w:rPr>
              <w:t>240,499</w:t>
            </w:r>
          </w:p>
        </w:tc>
        <w:tc>
          <w:tcPr>
            <w:tcW w:w="937" w:type="dxa"/>
            <w:tcBorders>
              <w:top w:val="nil"/>
              <w:left w:val="nil"/>
              <w:bottom w:val="single" w:sz="4" w:space="0" w:color="auto"/>
              <w:right w:val="single" w:sz="4" w:space="0" w:color="auto"/>
            </w:tcBorders>
            <w:shd w:val="clear" w:color="000000" w:fill="FFFFFF"/>
            <w:noWrap/>
            <w:vAlign w:val="center"/>
            <w:hideMark/>
          </w:tcPr>
          <w:p w14:paraId="06EB338C" w14:textId="77777777" w:rsidR="00342307" w:rsidRPr="003755B6" w:rsidRDefault="00342307" w:rsidP="009801EB">
            <w:pPr>
              <w:spacing w:after="0" w:line="240" w:lineRule="auto"/>
              <w:jc w:val="center"/>
              <w:rPr>
                <w:rFonts w:ascii="Arial" w:eastAsia="Times New Roman" w:hAnsi="Arial" w:cs="Arial"/>
                <w:color w:val="000000"/>
                <w:sz w:val="20"/>
                <w:szCs w:val="20"/>
                <w:lang w:eastAsia="en-GB"/>
              </w:rPr>
            </w:pPr>
            <w:r w:rsidRPr="003755B6">
              <w:rPr>
                <w:rFonts w:ascii="Arial" w:eastAsia="Times New Roman" w:hAnsi="Arial" w:cs="Arial"/>
                <w:color w:val="000000"/>
                <w:sz w:val="20"/>
                <w:szCs w:val="20"/>
                <w:lang w:eastAsia="en-GB"/>
              </w:rPr>
              <w:t>241,978</w:t>
            </w:r>
          </w:p>
        </w:tc>
        <w:tc>
          <w:tcPr>
            <w:tcW w:w="938" w:type="dxa"/>
            <w:tcBorders>
              <w:top w:val="nil"/>
              <w:left w:val="nil"/>
              <w:bottom w:val="single" w:sz="4" w:space="0" w:color="auto"/>
              <w:right w:val="single" w:sz="4" w:space="0" w:color="auto"/>
            </w:tcBorders>
            <w:shd w:val="clear" w:color="000000" w:fill="FFFFFF"/>
            <w:noWrap/>
            <w:vAlign w:val="center"/>
            <w:hideMark/>
          </w:tcPr>
          <w:p w14:paraId="08253C4F" w14:textId="77777777" w:rsidR="00342307" w:rsidRPr="003755B6" w:rsidRDefault="00342307" w:rsidP="009801EB">
            <w:pPr>
              <w:spacing w:after="0" w:line="240" w:lineRule="auto"/>
              <w:jc w:val="center"/>
              <w:rPr>
                <w:rFonts w:ascii="Arial" w:eastAsia="Times New Roman" w:hAnsi="Arial" w:cs="Arial"/>
                <w:color w:val="000000"/>
                <w:sz w:val="20"/>
                <w:szCs w:val="20"/>
                <w:lang w:eastAsia="en-GB"/>
              </w:rPr>
            </w:pPr>
            <w:r w:rsidRPr="003755B6">
              <w:rPr>
                <w:rFonts w:ascii="Arial" w:eastAsia="Times New Roman" w:hAnsi="Arial" w:cs="Arial"/>
                <w:color w:val="000000"/>
                <w:sz w:val="20"/>
                <w:szCs w:val="20"/>
                <w:lang w:eastAsia="en-GB"/>
              </w:rPr>
              <w:t>243,004</w:t>
            </w:r>
          </w:p>
        </w:tc>
        <w:tc>
          <w:tcPr>
            <w:tcW w:w="950" w:type="dxa"/>
            <w:tcBorders>
              <w:top w:val="nil"/>
              <w:left w:val="nil"/>
              <w:bottom w:val="single" w:sz="4" w:space="0" w:color="auto"/>
              <w:right w:val="single" w:sz="4" w:space="0" w:color="auto"/>
            </w:tcBorders>
            <w:shd w:val="clear" w:color="000000" w:fill="FFFFFF"/>
            <w:noWrap/>
            <w:vAlign w:val="center"/>
            <w:hideMark/>
          </w:tcPr>
          <w:p w14:paraId="178749E4" w14:textId="77777777" w:rsidR="00342307" w:rsidRPr="003755B6" w:rsidRDefault="00342307" w:rsidP="009801EB">
            <w:pPr>
              <w:spacing w:after="0" w:line="240" w:lineRule="auto"/>
              <w:jc w:val="center"/>
              <w:rPr>
                <w:rFonts w:ascii="Arial" w:eastAsia="Times New Roman" w:hAnsi="Arial" w:cs="Arial"/>
                <w:color w:val="000000"/>
                <w:sz w:val="20"/>
                <w:szCs w:val="20"/>
                <w:lang w:eastAsia="en-GB"/>
              </w:rPr>
            </w:pPr>
            <w:r w:rsidRPr="003755B6">
              <w:rPr>
                <w:rFonts w:ascii="Arial" w:eastAsia="Times New Roman" w:hAnsi="Arial" w:cs="Arial"/>
                <w:color w:val="000000"/>
                <w:sz w:val="20"/>
                <w:szCs w:val="20"/>
                <w:lang w:eastAsia="en-GB"/>
              </w:rPr>
              <w:t>245,149</w:t>
            </w:r>
          </w:p>
        </w:tc>
        <w:tc>
          <w:tcPr>
            <w:tcW w:w="991" w:type="dxa"/>
            <w:tcBorders>
              <w:top w:val="nil"/>
              <w:left w:val="nil"/>
              <w:bottom w:val="single" w:sz="4" w:space="0" w:color="auto"/>
              <w:right w:val="single" w:sz="4" w:space="0" w:color="auto"/>
            </w:tcBorders>
            <w:shd w:val="clear" w:color="000000" w:fill="FFFFFF"/>
            <w:noWrap/>
            <w:vAlign w:val="center"/>
            <w:hideMark/>
          </w:tcPr>
          <w:p w14:paraId="3C2A633B" w14:textId="77777777" w:rsidR="00342307" w:rsidRPr="003755B6" w:rsidRDefault="00342307" w:rsidP="009801EB">
            <w:pPr>
              <w:spacing w:after="0" w:line="240" w:lineRule="auto"/>
              <w:jc w:val="center"/>
              <w:rPr>
                <w:rFonts w:ascii="Arial" w:eastAsia="Times New Roman" w:hAnsi="Arial" w:cs="Arial"/>
                <w:color w:val="000000"/>
                <w:sz w:val="20"/>
                <w:szCs w:val="20"/>
                <w:lang w:eastAsia="en-GB"/>
              </w:rPr>
            </w:pPr>
            <w:r w:rsidRPr="003755B6">
              <w:rPr>
                <w:rFonts w:ascii="Arial" w:eastAsia="Times New Roman" w:hAnsi="Arial" w:cs="Arial"/>
                <w:color w:val="000000"/>
                <w:sz w:val="20"/>
                <w:szCs w:val="20"/>
                <w:lang w:eastAsia="en-GB"/>
              </w:rPr>
              <w:t>246,818</w:t>
            </w:r>
          </w:p>
        </w:tc>
        <w:tc>
          <w:tcPr>
            <w:tcW w:w="991" w:type="dxa"/>
            <w:tcBorders>
              <w:top w:val="nil"/>
              <w:left w:val="nil"/>
              <w:bottom w:val="single" w:sz="4" w:space="0" w:color="auto"/>
              <w:right w:val="single" w:sz="4" w:space="0" w:color="auto"/>
            </w:tcBorders>
            <w:shd w:val="clear" w:color="000000" w:fill="FFFFFF"/>
            <w:noWrap/>
            <w:vAlign w:val="center"/>
            <w:hideMark/>
          </w:tcPr>
          <w:p w14:paraId="412D9923" w14:textId="77777777" w:rsidR="00342307" w:rsidRPr="003755B6" w:rsidRDefault="00342307" w:rsidP="009801EB">
            <w:pPr>
              <w:spacing w:after="0" w:line="240" w:lineRule="auto"/>
              <w:jc w:val="center"/>
              <w:rPr>
                <w:rFonts w:ascii="Arial" w:eastAsia="Times New Roman" w:hAnsi="Arial" w:cs="Arial"/>
                <w:color w:val="000000"/>
                <w:sz w:val="20"/>
                <w:szCs w:val="20"/>
                <w:lang w:eastAsia="en-GB"/>
              </w:rPr>
            </w:pPr>
            <w:r w:rsidRPr="003755B6">
              <w:rPr>
                <w:rFonts w:ascii="Arial" w:eastAsia="Times New Roman" w:hAnsi="Arial" w:cs="Arial"/>
                <w:color w:val="000000"/>
                <w:sz w:val="20"/>
                <w:szCs w:val="20"/>
                <w:lang w:eastAsia="en-GB"/>
              </w:rPr>
              <w:t>248,697</w:t>
            </w:r>
          </w:p>
        </w:tc>
        <w:tc>
          <w:tcPr>
            <w:tcW w:w="991" w:type="dxa"/>
            <w:tcBorders>
              <w:top w:val="nil"/>
              <w:left w:val="nil"/>
              <w:bottom w:val="single" w:sz="4" w:space="0" w:color="auto"/>
              <w:right w:val="single" w:sz="4" w:space="0" w:color="auto"/>
            </w:tcBorders>
            <w:shd w:val="clear" w:color="000000" w:fill="FFFFFF"/>
            <w:noWrap/>
            <w:vAlign w:val="center"/>
            <w:hideMark/>
          </w:tcPr>
          <w:p w14:paraId="0D58B13B" w14:textId="77777777" w:rsidR="00342307" w:rsidRPr="003755B6" w:rsidRDefault="00342307" w:rsidP="009801EB">
            <w:pPr>
              <w:spacing w:after="0" w:line="240" w:lineRule="auto"/>
              <w:jc w:val="center"/>
              <w:rPr>
                <w:rFonts w:ascii="Arial" w:eastAsia="Times New Roman" w:hAnsi="Arial" w:cs="Arial"/>
                <w:color w:val="000000"/>
                <w:sz w:val="20"/>
                <w:szCs w:val="20"/>
                <w:lang w:eastAsia="en-GB"/>
              </w:rPr>
            </w:pPr>
            <w:r w:rsidRPr="003755B6">
              <w:rPr>
                <w:rFonts w:ascii="Arial" w:eastAsia="Times New Roman" w:hAnsi="Arial" w:cs="Arial"/>
                <w:color w:val="000000"/>
                <w:sz w:val="20"/>
                <w:szCs w:val="20"/>
                <w:lang w:eastAsia="en-GB"/>
              </w:rPr>
              <w:t>248,880</w:t>
            </w:r>
          </w:p>
        </w:tc>
        <w:tc>
          <w:tcPr>
            <w:tcW w:w="992" w:type="dxa"/>
            <w:tcBorders>
              <w:top w:val="nil"/>
              <w:left w:val="nil"/>
              <w:bottom w:val="single" w:sz="4" w:space="0" w:color="auto"/>
              <w:right w:val="single" w:sz="4" w:space="0" w:color="auto"/>
            </w:tcBorders>
            <w:shd w:val="clear" w:color="000000" w:fill="FFFFFF"/>
            <w:noWrap/>
            <w:vAlign w:val="center"/>
            <w:hideMark/>
          </w:tcPr>
          <w:p w14:paraId="1E93CBEC" w14:textId="77777777" w:rsidR="00342307" w:rsidRPr="003755B6" w:rsidRDefault="00342307" w:rsidP="009801EB">
            <w:pPr>
              <w:spacing w:after="0" w:line="240" w:lineRule="auto"/>
              <w:jc w:val="center"/>
              <w:rPr>
                <w:rFonts w:ascii="Arial" w:eastAsia="Times New Roman" w:hAnsi="Arial" w:cs="Arial"/>
                <w:color w:val="000000"/>
                <w:sz w:val="20"/>
                <w:szCs w:val="20"/>
                <w:lang w:eastAsia="en-GB"/>
              </w:rPr>
            </w:pPr>
            <w:r w:rsidRPr="003755B6">
              <w:rPr>
                <w:rFonts w:ascii="Arial" w:eastAsia="Times New Roman" w:hAnsi="Arial" w:cs="Arial"/>
                <w:color w:val="000000"/>
                <w:sz w:val="20"/>
                <w:szCs w:val="20"/>
                <w:lang w:eastAsia="en-GB"/>
              </w:rPr>
              <w:t>250,149</w:t>
            </w:r>
          </w:p>
        </w:tc>
        <w:tc>
          <w:tcPr>
            <w:tcW w:w="938" w:type="dxa"/>
            <w:tcBorders>
              <w:top w:val="nil"/>
              <w:left w:val="nil"/>
              <w:bottom w:val="single" w:sz="4" w:space="0" w:color="auto"/>
              <w:right w:val="single" w:sz="4" w:space="0" w:color="auto"/>
            </w:tcBorders>
            <w:shd w:val="clear" w:color="000000" w:fill="FFFFFF"/>
            <w:noWrap/>
            <w:vAlign w:val="center"/>
            <w:hideMark/>
          </w:tcPr>
          <w:p w14:paraId="2702EC03" w14:textId="77777777" w:rsidR="00342307" w:rsidRPr="003755B6" w:rsidRDefault="00342307" w:rsidP="009801EB">
            <w:pPr>
              <w:spacing w:after="0" w:line="240" w:lineRule="auto"/>
              <w:jc w:val="center"/>
              <w:rPr>
                <w:rFonts w:ascii="Arial" w:eastAsia="Times New Roman" w:hAnsi="Arial" w:cs="Arial"/>
                <w:color w:val="000000"/>
                <w:sz w:val="20"/>
                <w:szCs w:val="20"/>
                <w:lang w:eastAsia="en-GB"/>
              </w:rPr>
            </w:pPr>
            <w:r w:rsidRPr="003755B6">
              <w:rPr>
                <w:rFonts w:ascii="Arial" w:eastAsia="Times New Roman" w:hAnsi="Arial" w:cs="Arial"/>
                <w:color w:val="000000"/>
                <w:sz w:val="20"/>
                <w:szCs w:val="20"/>
                <w:lang w:eastAsia="en-GB"/>
              </w:rPr>
              <w:t>251,160</w:t>
            </w:r>
          </w:p>
        </w:tc>
        <w:tc>
          <w:tcPr>
            <w:tcW w:w="776" w:type="dxa"/>
            <w:tcBorders>
              <w:top w:val="nil"/>
              <w:left w:val="nil"/>
              <w:bottom w:val="single" w:sz="4" w:space="0" w:color="auto"/>
              <w:right w:val="single" w:sz="4" w:space="0" w:color="auto"/>
            </w:tcBorders>
            <w:shd w:val="clear" w:color="000000" w:fill="FFFFFF"/>
            <w:vAlign w:val="center"/>
          </w:tcPr>
          <w:p w14:paraId="064E8BCC" w14:textId="1361A45B" w:rsidR="00342307" w:rsidRPr="003755B6" w:rsidRDefault="009801EB" w:rsidP="009801EB">
            <w:pPr>
              <w:spacing w:after="0" w:line="240" w:lineRule="auto"/>
              <w:jc w:val="center"/>
              <w:rPr>
                <w:rFonts w:ascii="Arial" w:eastAsia="Times New Roman" w:hAnsi="Arial" w:cs="Arial"/>
                <w:color w:val="000000"/>
                <w:sz w:val="20"/>
                <w:szCs w:val="20"/>
                <w:lang w:eastAsia="en-GB"/>
              </w:rPr>
            </w:pPr>
            <w:r w:rsidRPr="003755B6">
              <w:rPr>
                <w:rFonts w:ascii="Arial" w:eastAsia="Times New Roman" w:hAnsi="Arial" w:cs="Arial"/>
                <w:color w:val="000000"/>
                <w:sz w:val="20"/>
                <w:szCs w:val="20"/>
                <w:lang w:eastAsia="en-GB"/>
              </w:rPr>
              <w:t>252,338</w:t>
            </w:r>
          </w:p>
        </w:tc>
      </w:tr>
    </w:tbl>
    <w:p w14:paraId="4DA74516" w14:textId="77777777" w:rsidR="00E24202" w:rsidRPr="003755B6" w:rsidRDefault="00E24202" w:rsidP="00152284">
      <w:pPr>
        <w:spacing w:after="0" w:line="240" w:lineRule="auto"/>
        <w:rPr>
          <w:rFonts w:ascii="Arial" w:hAnsi="Arial" w:cs="Arial"/>
        </w:rPr>
      </w:pPr>
    </w:p>
    <w:p w14:paraId="5DB8C97B" w14:textId="1F6642A3" w:rsidR="00E24202" w:rsidRPr="003755B6" w:rsidRDefault="00E24202" w:rsidP="00E24202">
      <w:pPr>
        <w:rPr>
          <w:rFonts w:ascii="Arial" w:hAnsi="Arial" w:cs="Arial"/>
          <w:b/>
          <w:sz w:val="24"/>
          <w:szCs w:val="24"/>
        </w:rPr>
      </w:pPr>
      <w:r w:rsidRPr="003755B6">
        <w:rPr>
          <w:rFonts w:ascii="Arial" w:hAnsi="Arial" w:cs="Arial"/>
          <w:b/>
          <w:sz w:val="24"/>
          <w:szCs w:val="24"/>
        </w:rPr>
        <w:t>Harrow’s population from mid-2011 to mid-20</w:t>
      </w:r>
      <w:r w:rsidR="00967F6D" w:rsidRPr="003755B6">
        <w:rPr>
          <w:rFonts w:ascii="Arial" w:hAnsi="Arial" w:cs="Arial"/>
          <w:b/>
          <w:sz w:val="24"/>
          <w:szCs w:val="24"/>
        </w:rPr>
        <w:t>20</w:t>
      </w:r>
    </w:p>
    <w:p w14:paraId="15165E89" w14:textId="7D9AD1F7" w:rsidR="00E24202" w:rsidRPr="003755B6" w:rsidRDefault="00B26540" w:rsidP="00E24202">
      <w:pPr>
        <w:rPr>
          <w:rFonts w:ascii="Arial" w:hAnsi="Arial" w:cs="Arial"/>
        </w:rPr>
      </w:pPr>
      <w:r w:rsidRPr="003755B6">
        <w:rPr>
          <w:rFonts w:ascii="Arial" w:hAnsi="Arial" w:cs="Arial"/>
          <w:noProof/>
        </w:rPr>
        <w:drawing>
          <wp:inline distT="0" distB="0" distL="0" distR="0" wp14:anchorId="05A1687A" wp14:editId="71204242">
            <wp:extent cx="6638925" cy="3237230"/>
            <wp:effectExtent l="0" t="0" r="952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38925" cy="3237230"/>
                    </a:xfrm>
                    <a:prstGeom prst="rect">
                      <a:avLst/>
                    </a:prstGeom>
                    <a:noFill/>
                  </pic:spPr>
                </pic:pic>
              </a:graphicData>
            </a:graphic>
          </wp:inline>
        </w:drawing>
      </w:r>
    </w:p>
    <w:p w14:paraId="443C8AF9" w14:textId="3032EC5B" w:rsidR="00EF4AFC" w:rsidRPr="003755B6" w:rsidRDefault="00EF4AFC" w:rsidP="00081DA6">
      <w:pPr>
        <w:spacing w:after="0"/>
        <w:rPr>
          <w:rFonts w:ascii="Arial" w:hAnsi="Arial" w:cs="Arial"/>
          <w:sz w:val="24"/>
          <w:szCs w:val="24"/>
        </w:rPr>
      </w:pPr>
      <w:r w:rsidRPr="003755B6">
        <w:rPr>
          <w:rFonts w:ascii="Arial" w:hAnsi="Arial" w:cs="Arial"/>
          <w:sz w:val="24"/>
          <w:szCs w:val="24"/>
        </w:rPr>
        <w:t xml:space="preserve">Harrow’s population increase </w:t>
      </w:r>
      <w:r w:rsidR="00D07995" w:rsidRPr="003755B6">
        <w:rPr>
          <w:rFonts w:ascii="Arial" w:hAnsi="Arial" w:cs="Arial"/>
          <w:sz w:val="24"/>
          <w:szCs w:val="24"/>
        </w:rPr>
        <w:t>between 2019 and 2020 (</w:t>
      </w:r>
      <w:r w:rsidR="002162F6" w:rsidRPr="003755B6">
        <w:rPr>
          <w:rFonts w:ascii="Arial" w:hAnsi="Arial" w:cs="Arial"/>
          <w:sz w:val="24"/>
          <w:szCs w:val="24"/>
        </w:rPr>
        <w:t xml:space="preserve">1,178) </w:t>
      </w:r>
      <w:r w:rsidRPr="003755B6">
        <w:rPr>
          <w:rFonts w:ascii="Arial" w:hAnsi="Arial" w:cs="Arial"/>
          <w:sz w:val="24"/>
          <w:szCs w:val="24"/>
        </w:rPr>
        <w:t xml:space="preserve">is </w:t>
      </w:r>
      <w:r w:rsidR="00092D44" w:rsidRPr="003755B6">
        <w:rPr>
          <w:rFonts w:ascii="Arial" w:hAnsi="Arial" w:cs="Arial"/>
          <w:sz w:val="24"/>
          <w:szCs w:val="24"/>
        </w:rPr>
        <w:t xml:space="preserve">slightly lower than </w:t>
      </w:r>
      <w:proofErr w:type="spellStart"/>
      <w:r w:rsidR="008114AB" w:rsidRPr="003755B6">
        <w:rPr>
          <w:rFonts w:ascii="Arial" w:hAnsi="Arial" w:cs="Arial"/>
          <w:sz w:val="24"/>
          <w:szCs w:val="24"/>
        </w:rPr>
        <w:t>it’s</w:t>
      </w:r>
      <w:proofErr w:type="spellEnd"/>
      <w:r w:rsidR="008114AB" w:rsidRPr="003755B6">
        <w:rPr>
          <w:rFonts w:ascii="Arial" w:hAnsi="Arial" w:cs="Arial"/>
          <w:sz w:val="24"/>
          <w:szCs w:val="24"/>
        </w:rPr>
        <w:t xml:space="preserve"> neighbouring</w:t>
      </w:r>
      <w:r w:rsidRPr="003755B6">
        <w:rPr>
          <w:rFonts w:ascii="Arial" w:hAnsi="Arial" w:cs="Arial"/>
          <w:sz w:val="24"/>
          <w:szCs w:val="24"/>
        </w:rPr>
        <w:t xml:space="preserve"> London boroughs; Barnet increased by </w:t>
      </w:r>
      <w:r w:rsidR="002162F6" w:rsidRPr="003755B6">
        <w:rPr>
          <w:rFonts w:ascii="Arial" w:hAnsi="Arial" w:cs="Arial"/>
          <w:sz w:val="24"/>
          <w:szCs w:val="24"/>
        </w:rPr>
        <w:t>3,138</w:t>
      </w:r>
      <w:r w:rsidR="008A5A30" w:rsidRPr="003755B6">
        <w:rPr>
          <w:rFonts w:ascii="Arial" w:hAnsi="Arial" w:cs="Arial"/>
          <w:sz w:val="24"/>
          <w:szCs w:val="24"/>
        </w:rPr>
        <w:t xml:space="preserve"> and </w:t>
      </w:r>
      <w:r w:rsidRPr="003755B6">
        <w:rPr>
          <w:rFonts w:ascii="Arial" w:hAnsi="Arial" w:cs="Arial"/>
          <w:sz w:val="24"/>
          <w:szCs w:val="24"/>
        </w:rPr>
        <w:t>Hillingdon by 2</w:t>
      </w:r>
      <w:r w:rsidR="00AA3BC1" w:rsidRPr="003755B6">
        <w:rPr>
          <w:rFonts w:ascii="Arial" w:hAnsi="Arial" w:cs="Arial"/>
          <w:sz w:val="24"/>
          <w:szCs w:val="24"/>
        </w:rPr>
        <w:t>,144</w:t>
      </w:r>
      <w:r w:rsidRPr="003755B6">
        <w:rPr>
          <w:rFonts w:ascii="Arial" w:hAnsi="Arial" w:cs="Arial"/>
          <w:sz w:val="24"/>
          <w:szCs w:val="24"/>
        </w:rPr>
        <w:t xml:space="preserve">.  However, Brent and Ealing’s populations have dropped by </w:t>
      </w:r>
      <w:r w:rsidR="008A5A30" w:rsidRPr="003755B6">
        <w:rPr>
          <w:rFonts w:ascii="Arial" w:hAnsi="Arial" w:cs="Arial"/>
          <w:sz w:val="24"/>
          <w:szCs w:val="24"/>
        </w:rPr>
        <w:t>2,018</w:t>
      </w:r>
      <w:r w:rsidRPr="003755B6">
        <w:rPr>
          <w:rFonts w:ascii="Arial" w:hAnsi="Arial" w:cs="Arial"/>
          <w:sz w:val="24"/>
          <w:szCs w:val="24"/>
        </w:rPr>
        <w:t xml:space="preserve"> and 1</w:t>
      </w:r>
      <w:r w:rsidR="008A5A30" w:rsidRPr="003755B6">
        <w:rPr>
          <w:rFonts w:ascii="Arial" w:hAnsi="Arial" w:cs="Arial"/>
          <w:sz w:val="24"/>
          <w:szCs w:val="24"/>
        </w:rPr>
        <w:t>,465</w:t>
      </w:r>
      <w:r w:rsidRPr="003755B6">
        <w:rPr>
          <w:rFonts w:ascii="Arial" w:hAnsi="Arial" w:cs="Arial"/>
          <w:sz w:val="24"/>
          <w:szCs w:val="24"/>
        </w:rPr>
        <w:t xml:space="preserve"> respectively.</w:t>
      </w:r>
    </w:p>
    <w:p w14:paraId="69CCAEC4" w14:textId="77777777" w:rsidR="00EF4AFC" w:rsidRPr="003755B6" w:rsidRDefault="00EF4AFC" w:rsidP="00081DA6">
      <w:pPr>
        <w:spacing w:after="0"/>
        <w:rPr>
          <w:rFonts w:ascii="Arial" w:hAnsi="Arial" w:cs="Arial"/>
          <w:b/>
          <w:sz w:val="24"/>
          <w:szCs w:val="24"/>
        </w:rPr>
      </w:pPr>
    </w:p>
    <w:p w14:paraId="575B035F" w14:textId="12F10AEB" w:rsidR="00081DA6" w:rsidRPr="003755B6" w:rsidRDefault="00081DA6" w:rsidP="00081DA6">
      <w:pPr>
        <w:spacing w:after="0"/>
        <w:rPr>
          <w:rFonts w:ascii="Arial" w:hAnsi="Arial" w:cs="Arial"/>
          <w:b/>
          <w:sz w:val="24"/>
          <w:szCs w:val="24"/>
        </w:rPr>
      </w:pPr>
      <w:r w:rsidRPr="003755B6">
        <w:rPr>
          <w:rFonts w:ascii="Arial" w:hAnsi="Arial" w:cs="Arial"/>
          <w:b/>
          <w:sz w:val="24"/>
          <w:szCs w:val="24"/>
        </w:rPr>
        <w:t>Harrow’s births</w:t>
      </w:r>
    </w:p>
    <w:p w14:paraId="3A874EC9" w14:textId="70E68776" w:rsidR="00791F58" w:rsidRPr="003755B6" w:rsidRDefault="00152284" w:rsidP="00152284">
      <w:pPr>
        <w:spacing w:after="0" w:line="240" w:lineRule="auto"/>
        <w:rPr>
          <w:rFonts w:ascii="Arial" w:hAnsi="Arial" w:cs="Arial"/>
          <w:sz w:val="24"/>
          <w:szCs w:val="24"/>
        </w:rPr>
      </w:pPr>
      <w:r w:rsidRPr="003755B6">
        <w:rPr>
          <w:rFonts w:ascii="Arial" w:hAnsi="Arial" w:cs="Arial"/>
          <w:sz w:val="24"/>
          <w:szCs w:val="24"/>
        </w:rPr>
        <w:t xml:space="preserve">Harrow’s births based on the ONS’s MYE have </w:t>
      </w:r>
      <w:r w:rsidR="0056623E" w:rsidRPr="003755B6">
        <w:rPr>
          <w:rFonts w:ascii="Arial" w:hAnsi="Arial" w:cs="Arial"/>
          <w:sz w:val="24"/>
          <w:szCs w:val="24"/>
        </w:rPr>
        <w:t>fluctuated between 2011 and 2018, peaking at 3,661 in 2015</w:t>
      </w:r>
      <w:r w:rsidRPr="003755B6">
        <w:rPr>
          <w:rFonts w:ascii="Arial" w:hAnsi="Arial" w:cs="Arial"/>
          <w:sz w:val="24"/>
          <w:szCs w:val="24"/>
        </w:rPr>
        <w:t xml:space="preserve">, </w:t>
      </w:r>
      <w:r w:rsidR="000D7688" w:rsidRPr="003755B6">
        <w:rPr>
          <w:rFonts w:ascii="Arial" w:hAnsi="Arial" w:cs="Arial"/>
          <w:sz w:val="24"/>
          <w:szCs w:val="24"/>
        </w:rPr>
        <w:t>and increased again in 2017 to 3,655</w:t>
      </w:r>
      <w:r w:rsidR="001365E1" w:rsidRPr="003755B6">
        <w:rPr>
          <w:rFonts w:ascii="Arial" w:hAnsi="Arial" w:cs="Arial"/>
          <w:sz w:val="24"/>
          <w:szCs w:val="24"/>
        </w:rPr>
        <w:t xml:space="preserve"> </w:t>
      </w:r>
      <w:r w:rsidRPr="003755B6">
        <w:rPr>
          <w:rFonts w:ascii="Arial" w:hAnsi="Arial" w:cs="Arial"/>
          <w:sz w:val="24"/>
          <w:szCs w:val="24"/>
        </w:rPr>
        <w:t xml:space="preserve">but </w:t>
      </w:r>
      <w:r w:rsidR="001365E1" w:rsidRPr="003755B6">
        <w:rPr>
          <w:rFonts w:ascii="Arial" w:hAnsi="Arial" w:cs="Arial"/>
          <w:sz w:val="24"/>
          <w:szCs w:val="24"/>
        </w:rPr>
        <w:t xml:space="preserve">have continued to drop since, falling </w:t>
      </w:r>
      <w:r w:rsidR="00724D16" w:rsidRPr="003755B6">
        <w:rPr>
          <w:rFonts w:ascii="Arial" w:hAnsi="Arial" w:cs="Arial"/>
          <w:sz w:val="24"/>
          <w:szCs w:val="24"/>
        </w:rPr>
        <w:t>from 3,543 in 201</w:t>
      </w:r>
      <w:r w:rsidR="00CA3F6B" w:rsidRPr="003755B6">
        <w:rPr>
          <w:rFonts w:ascii="Arial" w:hAnsi="Arial" w:cs="Arial"/>
          <w:sz w:val="24"/>
          <w:szCs w:val="24"/>
        </w:rPr>
        <w:t>8</w:t>
      </w:r>
      <w:r w:rsidR="00724D16" w:rsidRPr="003755B6">
        <w:rPr>
          <w:rFonts w:ascii="Arial" w:hAnsi="Arial" w:cs="Arial"/>
          <w:sz w:val="24"/>
          <w:szCs w:val="24"/>
        </w:rPr>
        <w:t xml:space="preserve"> </w:t>
      </w:r>
      <w:r w:rsidR="001365E1" w:rsidRPr="003755B6">
        <w:rPr>
          <w:rFonts w:ascii="Arial" w:hAnsi="Arial" w:cs="Arial"/>
          <w:sz w:val="24"/>
          <w:szCs w:val="24"/>
        </w:rPr>
        <w:t>to 3,506 in 20</w:t>
      </w:r>
      <w:r w:rsidR="00CA3F6B" w:rsidRPr="003755B6">
        <w:rPr>
          <w:rFonts w:ascii="Arial" w:hAnsi="Arial" w:cs="Arial"/>
          <w:sz w:val="24"/>
          <w:szCs w:val="24"/>
        </w:rPr>
        <w:t>19</w:t>
      </w:r>
      <w:r w:rsidR="001365E1" w:rsidRPr="003755B6">
        <w:rPr>
          <w:rFonts w:ascii="Arial" w:hAnsi="Arial" w:cs="Arial"/>
          <w:sz w:val="24"/>
          <w:szCs w:val="24"/>
        </w:rPr>
        <w:t>.</w:t>
      </w:r>
      <w:r w:rsidRPr="003755B6">
        <w:rPr>
          <w:rFonts w:ascii="Arial" w:hAnsi="Arial" w:cs="Arial"/>
          <w:sz w:val="24"/>
          <w:szCs w:val="24"/>
        </w:rPr>
        <w:t xml:space="preserve">  </w:t>
      </w:r>
    </w:p>
    <w:p w14:paraId="4EB8A055" w14:textId="77777777" w:rsidR="0056623E" w:rsidRPr="003755B6" w:rsidRDefault="0056623E" w:rsidP="00152284">
      <w:pPr>
        <w:spacing w:after="0" w:line="240" w:lineRule="auto"/>
        <w:rPr>
          <w:rFonts w:ascii="Arial" w:hAnsi="Arial" w:cs="Arial"/>
          <w:sz w:val="24"/>
          <w:szCs w:val="24"/>
        </w:rPr>
      </w:pPr>
    </w:p>
    <w:p w14:paraId="3DF77392" w14:textId="77214975" w:rsidR="0056623E" w:rsidRPr="003755B6" w:rsidRDefault="00F638E4" w:rsidP="00152284">
      <w:pPr>
        <w:spacing w:after="0" w:line="240" w:lineRule="auto"/>
        <w:rPr>
          <w:rFonts w:ascii="Arial" w:hAnsi="Arial" w:cs="Arial"/>
          <w:noProof/>
          <w:sz w:val="24"/>
          <w:szCs w:val="24"/>
        </w:rPr>
      </w:pPr>
      <w:r w:rsidRPr="003755B6">
        <w:rPr>
          <w:rFonts w:ascii="Arial" w:hAnsi="Arial" w:cs="Arial"/>
          <w:noProof/>
          <w:sz w:val="24"/>
          <w:szCs w:val="24"/>
        </w:rPr>
        <w:lastRenderedPageBreak/>
        <w:drawing>
          <wp:inline distT="0" distB="0" distL="0" distR="0" wp14:anchorId="28FAE496" wp14:editId="11E77286">
            <wp:extent cx="6638925" cy="3115310"/>
            <wp:effectExtent l="0" t="0" r="952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8925" cy="3115310"/>
                    </a:xfrm>
                    <a:prstGeom prst="rect">
                      <a:avLst/>
                    </a:prstGeom>
                    <a:noFill/>
                  </pic:spPr>
                </pic:pic>
              </a:graphicData>
            </a:graphic>
          </wp:inline>
        </w:drawing>
      </w:r>
    </w:p>
    <w:p w14:paraId="237F40ED" w14:textId="77777777" w:rsidR="00041BD2" w:rsidRPr="003755B6" w:rsidRDefault="00041BD2" w:rsidP="00152284">
      <w:pPr>
        <w:spacing w:after="0" w:line="240" w:lineRule="auto"/>
        <w:rPr>
          <w:rFonts w:ascii="Arial" w:hAnsi="Arial" w:cs="Arial"/>
          <w:sz w:val="24"/>
          <w:szCs w:val="24"/>
        </w:rPr>
      </w:pPr>
    </w:p>
    <w:p w14:paraId="076A50C4" w14:textId="3566AD5E" w:rsidR="00081DA6" w:rsidRPr="003755B6" w:rsidRDefault="00081DA6" w:rsidP="00081DA6">
      <w:pPr>
        <w:spacing w:after="0"/>
        <w:rPr>
          <w:rFonts w:ascii="Arial" w:hAnsi="Arial" w:cs="Arial"/>
          <w:b/>
          <w:sz w:val="24"/>
          <w:szCs w:val="24"/>
        </w:rPr>
      </w:pPr>
      <w:r w:rsidRPr="003755B6">
        <w:rPr>
          <w:rFonts w:ascii="Arial" w:hAnsi="Arial" w:cs="Arial"/>
          <w:b/>
          <w:sz w:val="24"/>
          <w:szCs w:val="24"/>
        </w:rPr>
        <w:t>Harrow’s migration</w:t>
      </w:r>
    </w:p>
    <w:p w14:paraId="7401F67D" w14:textId="2B959786" w:rsidR="00152284" w:rsidRPr="003755B6" w:rsidRDefault="00152284" w:rsidP="00EB2831">
      <w:pPr>
        <w:spacing w:after="0" w:line="240" w:lineRule="auto"/>
        <w:rPr>
          <w:rFonts w:ascii="Arial" w:hAnsi="Arial" w:cs="Arial"/>
          <w:sz w:val="24"/>
          <w:szCs w:val="24"/>
        </w:rPr>
      </w:pPr>
      <w:r w:rsidRPr="003755B6">
        <w:rPr>
          <w:rFonts w:ascii="Arial" w:hAnsi="Arial" w:cs="Arial"/>
          <w:sz w:val="24"/>
          <w:szCs w:val="24"/>
        </w:rPr>
        <w:t xml:space="preserve">Harrow’s internal migration resulted in a net loss of </w:t>
      </w:r>
      <w:r w:rsidR="00D04623" w:rsidRPr="003755B6">
        <w:rPr>
          <w:rFonts w:ascii="Arial" w:hAnsi="Arial" w:cs="Arial"/>
          <w:sz w:val="24"/>
          <w:szCs w:val="24"/>
        </w:rPr>
        <w:t>4</w:t>
      </w:r>
      <w:r w:rsidRPr="003755B6">
        <w:rPr>
          <w:rFonts w:ascii="Arial" w:hAnsi="Arial" w:cs="Arial"/>
          <w:sz w:val="24"/>
          <w:szCs w:val="24"/>
        </w:rPr>
        <w:t xml:space="preserve">k people </w:t>
      </w:r>
      <w:r w:rsidR="00C605F9" w:rsidRPr="003755B6">
        <w:rPr>
          <w:rFonts w:ascii="Arial" w:hAnsi="Arial" w:cs="Arial"/>
          <w:sz w:val="24"/>
          <w:szCs w:val="24"/>
        </w:rPr>
        <w:t xml:space="preserve">in </w:t>
      </w:r>
      <w:r w:rsidRPr="003755B6">
        <w:rPr>
          <w:rFonts w:ascii="Arial" w:hAnsi="Arial" w:cs="Arial"/>
          <w:sz w:val="24"/>
          <w:szCs w:val="24"/>
        </w:rPr>
        <w:t>2017</w:t>
      </w:r>
      <w:r w:rsidR="00C605F9" w:rsidRPr="003755B6">
        <w:rPr>
          <w:rFonts w:ascii="Arial" w:hAnsi="Arial" w:cs="Arial"/>
          <w:sz w:val="24"/>
          <w:szCs w:val="24"/>
        </w:rPr>
        <w:t>, 3.5</w:t>
      </w:r>
      <w:r w:rsidRPr="003755B6">
        <w:rPr>
          <w:rFonts w:ascii="Arial" w:hAnsi="Arial" w:cs="Arial"/>
          <w:sz w:val="24"/>
          <w:szCs w:val="24"/>
        </w:rPr>
        <w:t xml:space="preserve">k in 2018 </w:t>
      </w:r>
      <w:r w:rsidR="00EB2831" w:rsidRPr="003755B6">
        <w:rPr>
          <w:rFonts w:ascii="Arial" w:hAnsi="Arial" w:cs="Arial"/>
          <w:sz w:val="24"/>
          <w:szCs w:val="24"/>
        </w:rPr>
        <w:t>and</w:t>
      </w:r>
      <w:r w:rsidR="002B3D51" w:rsidRPr="003755B6">
        <w:rPr>
          <w:rFonts w:ascii="Arial" w:hAnsi="Arial" w:cs="Arial"/>
          <w:sz w:val="24"/>
          <w:szCs w:val="24"/>
        </w:rPr>
        <w:t xml:space="preserve"> 2.1k in 2019</w:t>
      </w:r>
      <w:r w:rsidR="00503347" w:rsidRPr="003755B6">
        <w:rPr>
          <w:rFonts w:ascii="Arial" w:hAnsi="Arial" w:cs="Arial"/>
          <w:sz w:val="24"/>
          <w:szCs w:val="24"/>
        </w:rPr>
        <w:t>.  In</w:t>
      </w:r>
      <w:r w:rsidRPr="003755B6">
        <w:rPr>
          <w:rFonts w:ascii="Arial" w:hAnsi="Arial" w:cs="Arial"/>
          <w:sz w:val="24"/>
          <w:szCs w:val="24"/>
        </w:rPr>
        <w:t>ternational migration resulted in a net gain of 3</w:t>
      </w:r>
      <w:r w:rsidR="00503347" w:rsidRPr="003755B6">
        <w:rPr>
          <w:rFonts w:ascii="Arial" w:hAnsi="Arial" w:cs="Arial"/>
          <w:sz w:val="24"/>
          <w:szCs w:val="24"/>
        </w:rPr>
        <w:t>.2</w:t>
      </w:r>
      <w:r w:rsidRPr="003755B6">
        <w:rPr>
          <w:rFonts w:ascii="Arial" w:hAnsi="Arial" w:cs="Arial"/>
          <w:sz w:val="24"/>
          <w:szCs w:val="24"/>
        </w:rPr>
        <w:t>k people in 2017</w:t>
      </w:r>
      <w:r w:rsidR="00503347" w:rsidRPr="003755B6">
        <w:rPr>
          <w:rFonts w:ascii="Arial" w:hAnsi="Arial" w:cs="Arial"/>
          <w:sz w:val="24"/>
          <w:szCs w:val="24"/>
        </w:rPr>
        <w:t>, 2.4</w:t>
      </w:r>
      <w:r w:rsidRPr="003755B6">
        <w:rPr>
          <w:rFonts w:ascii="Arial" w:hAnsi="Arial" w:cs="Arial"/>
          <w:sz w:val="24"/>
          <w:szCs w:val="24"/>
        </w:rPr>
        <w:t xml:space="preserve">k in 2018 </w:t>
      </w:r>
      <w:r w:rsidR="00503347" w:rsidRPr="003755B6">
        <w:rPr>
          <w:rFonts w:ascii="Arial" w:hAnsi="Arial" w:cs="Arial"/>
          <w:sz w:val="24"/>
          <w:szCs w:val="24"/>
        </w:rPr>
        <w:t>and 1.7k in 2019.</w:t>
      </w:r>
      <w:r w:rsidR="00EB2831" w:rsidRPr="003755B6">
        <w:rPr>
          <w:rFonts w:ascii="Arial" w:hAnsi="Arial" w:cs="Arial"/>
          <w:sz w:val="24"/>
          <w:szCs w:val="24"/>
        </w:rPr>
        <w:t xml:space="preserve">  </w:t>
      </w:r>
      <w:r w:rsidRPr="003755B6">
        <w:rPr>
          <w:rFonts w:ascii="Arial" w:hAnsi="Arial" w:cs="Arial"/>
          <w:sz w:val="24"/>
          <w:szCs w:val="24"/>
        </w:rPr>
        <w:t xml:space="preserve">Net impact of total migration was </w:t>
      </w:r>
      <w:proofErr w:type="gramStart"/>
      <w:r w:rsidR="00075C2A" w:rsidRPr="003755B6">
        <w:rPr>
          <w:rFonts w:ascii="Arial" w:hAnsi="Arial" w:cs="Arial"/>
          <w:sz w:val="24"/>
          <w:szCs w:val="24"/>
        </w:rPr>
        <w:t>a</w:t>
      </w:r>
      <w:proofErr w:type="gramEnd"/>
      <w:r w:rsidR="00075C2A" w:rsidRPr="003755B6">
        <w:rPr>
          <w:rFonts w:ascii="Arial" w:hAnsi="Arial" w:cs="Arial"/>
          <w:sz w:val="24"/>
          <w:szCs w:val="24"/>
        </w:rPr>
        <w:t xml:space="preserve"> 834</w:t>
      </w:r>
      <w:r w:rsidRPr="003755B6">
        <w:rPr>
          <w:rFonts w:ascii="Arial" w:hAnsi="Arial" w:cs="Arial"/>
          <w:sz w:val="24"/>
          <w:szCs w:val="24"/>
        </w:rPr>
        <w:t xml:space="preserve"> loss in 2017</w:t>
      </w:r>
      <w:r w:rsidR="00B73505" w:rsidRPr="003755B6">
        <w:rPr>
          <w:rFonts w:ascii="Arial" w:hAnsi="Arial" w:cs="Arial"/>
          <w:sz w:val="24"/>
          <w:szCs w:val="24"/>
        </w:rPr>
        <w:t>,</w:t>
      </w:r>
      <w:r w:rsidRPr="003755B6">
        <w:rPr>
          <w:rFonts w:ascii="Arial" w:hAnsi="Arial" w:cs="Arial"/>
          <w:sz w:val="24"/>
          <w:szCs w:val="24"/>
        </w:rPr>
        <w:t xml:space="preserve"> 1k loss in 2018 </w:t>
      </w:r>
      <w:r w:rsidR="00B73505" w:rsidRPr="003755B6">
        <w:rPr>
          <w:rFonts w:ascii="Arial" w:hAnsi="Arial" w:cs="Arial"/>
          <w:sz w:val="24"/>
          <w:szCs w:val="24"/>
        </w:rPr>
        <w:t>and 420 loss in 2019.</w:t>
      </w:r>
    </w:p>
    <w:p w14:paraId="2A4B76EA" w14:textId="77777777" w:rsidR="00EB2831" w:rsidRPr="003755B6" w:rsidRDefault="00EB2831" w:rsidP="00F446CA">
      <w:pPr>
        <w:spacing w:after="0"/>
        <w:rPr>
          <w:rFonts w:ascii="Arial" w:hAnsi="Arial" w:cs="Arial"/>
          <w:b/>
          <w:noProof/>
          <w:sz w:val="24"/>
          <w:szCs w:val="24"/>
          <w:lang w:eastAsia="en-GB"/>
        </w:rPr>
      </w:pPr>
    </w:p>
    <w:tbl>
      <w:tblPr>
        <w:tblW w:w="99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1484"/>
        <w:gridCol w:w="1378"/>
        <w:gridCol w:w="1378"/>
        <w:gridCol w:w="1964"/>
        <w:gridCol w:w="1292"/>
      </w:tblGrid>
      <w:tr w:rsidR="00824A11" w:rsidRPr="003755B6" w14:paraId="02AAEB8F" w14:textId="77777777" w:rsidTr="00AF286A">
        <w:trPr>
          <w:trHeight w:val="280"/>
        </w:trPr>
        <w:tc>
          <w:tcPr>
            <w:tcW w:w="2458" w:type="dxa"/>
            <w:shd w:val="clear" w:color="auto" w:fill="auto"/>
            <w:noWrap/>
            <w:vAlign w:val="center"/>
            <w:hideMark/>
          </w:tcPr>
          <w:p w14:paraId="00AD964D" w14:textId="77777777" w:rsidR="00824A11" w:rsidRPr="003755B6" w:rsidRDefault="00824A11" w:rsidP="00650A11">
            <w:pPr>
              <w:spacing w:after="0" w:line="240" w:lineRule="auto"/>
              <w:rPr>
                <w:rFonts w:ascii="Arial" w:eastAsia="Times New Roman" w:hAnsi="Arial" w:cs="Arial"/>
                <w:b/>
                <w:bCs/>
                <w:color w:val="000000"/>
                <w:sz w:val="24"/>
                <w:szCs w:val="24"/>
                <w:lang w:eastAsia="en-GB"/>
              </w:rPr>
            </w:pPr>
            <w:r w:rsidRPr="003755B6">
              <w:rPr>
                <w:rFonts w:ascii="Arial" w:eastAsia="Times New Roman" w:hAnsi="Arial" w:cs="Arial"/>
                <w:b/>
                <w:bCs/>
                <w:color w:val="000000"/>
                <w:sz w:val="24"/>
                <w:szCs w:val="24"/>
                <w:lang w:eastAsia="en-GB"/>
              </w:rPr>
              <w:t>Harrow</w:t>
            </w:r>
          </w:p>
        </w:tc>
        <w:tc>
          <w:tcPr>
            <w:tcW w:w="1484" w:type="dxa"/>
            <w:shd w:val="clear" w:color="auto" w:fill="auto"/>
            <w:vAlign w:val="center"/>
            <w:hideMark/>
          </w:tcPr>
          <w:p w14:paraId="1E6BAF8A" w14:textId="77777777" w:rsidR="00824A11" w:rsidRPr="003755B6" w:rsidRDefault="00824A11" w:rsidP="00650A11">
            <w:pPr>
              <w:spacing w:after="0" w:line="240" w:lineRule="auto"/>
              <w:jc w:val="center"/>
              <w:rPr>
                <w:rFonts w:ascii="Arial" w:eastAsia="Times New Roman" w:hAnsi="Arial" w:cs="Arial"/>
                <w:b/>
                <w:bCs/>
                <w:color w:val="000000"/>
                <w:sz w:val="24"/>
                <w:szCs w:val="24"/>
                <w:lang w:eastAsia="en-GB"/>
              </w:rPr>
            </w:pPr>
            <w:r w:rsidRPr="003755B6">
              <w:rPr>
                <w:rFonts w:ascii="Arial" w:eastAsia="Times New Roman" w:hAnsi="Arial" w:cs="Arial"/>
                <w:b/>
                <w:bCs/>
                <w:color w:val="000000"/>
                <w:sz w:val="24"/>
                <w:szCs w:val="24"/>
                <w:lang w:eastAsia="en-GB"/>
              </w:rPr>
              <w:t>2017-MYE</w:t>
            </w:r>
          </w:p>
        </w:tc>
        <w:tc>
          <w:tcPr>
            <w:tcW w:w="1378" w:type="dxa"/>
            <w:shd w:val="clear" w:color="auto" w:fill="auto"/>
            <w:noWrap/>
            <w:vAlign w:val="center"/>
            <w:hideMark/>
          </w:tcPr>
          <w:p w14:paraId="2439F104" w14:textId="77777777" w:rsidR="00824A11" w:rsidRPr="003755B6" w:rsidRDefault="00824A11" w:rsidP="00650A11">
            <w:pPr>
              <w:spacing w:after="0" w:line="240" w:lineRule="auto"/>
              <w:jc w:val="center"/>
              <w:rPr>
                <w:rFonts w:ascii="Arial" w:eastAsia="Times New Roman" w:hAnsi="Arial" w:cs="Arial"/>
                <w:b/>
                <w:bCs/>
                <w:color w:val="000000"/>
                <w:sz w:val="24"/>
                <w:szCs w:val="24"/>
                <w:lang w:eastAsia="en-GB"/>
              </w:rPr>
            </w:pPr>
            <w:r w:rsidRPr="003755B6">
              <w:rPr>
                <w:rFonts w:ascii="Arial" w:eastAsia="Times New Roman" w:hAnsi="Arial" w:cs="Arial"/>
                <w:b/>
                <w:bCs/>
                <w:color w:val="000000"/>
                <w:sz w:val="24"/>
                <w:szCs w:val="24"/>
                <w:lang w:eastAsia="en-GB"/>
              </w:rPr>
              <w:t>2018-MYE</w:t>
            </w:r>
          </w:p>
        </w:tc>
        <w:tc>
          <w:tcPr>
            <w:tcW w:w="1378" w:type="dxa"/>
            <w:vAlign w:val="center"/>
          </w:tcPr>
          <w:p w14:paraId="5DDFE80D" w14:textId="77777777" w:rsidR="00824A11" w:rsidRPr="003755B6" w:rsidRDefault="00824A11" w:rsidP="00650A11">
            <w:pPr>
              <w:spacing w:after="0" w:line="240" w:lineRule="auto"/>
              <w:jc w:val="center"/>
              <w:rPr>
                <w:rFonts w:ascii="Arial" w:eastAsia="Times New Roman" w:hAnsi="Arial" w:cs="Arial"/>
                <w:b/>
                <w:bCs/>
                <w:color w:val="000000"/>
                <w:sz w:val="24"/>
                <w:szCs w:val="24"/>
                <w:lang w:eastAsia="en-GB"/>
              </w:rPr>
            </w:pPr>
            <w:r w:rsidRPr="003755B6">
              <w:rPr>
                <w:rFonts w:ascii="Arial" w:eastAsia="Times New Roman" w:hAnsi="Arial" w:cs="Arial"/>
                <w:b/>
                <w:bCs/>
                <w:color w:val="000000"/>
                <w:sz w:val="24"/>
                <w:szCs w:val="24"/>
                <w:lang w:eastAsia="en-GB"/>
              </w:rPr>
              <w:t>2019-MYE</w:t>
            </w:r>
          </w:p>
        </w:tc>
        <w:tc>
          <w:tcPr>
            <w:tcW w:w="1964" w:type="dxa"/>
            <w:shd w:val="clear" w:color="auto" w:fill="auto"/>
            <w:vAlign w:val="center"/>
            <w:hideMark/>
          </w:tcPr>
          <w:p w14:paraId="71D628C1" w14:textId="77777777" w:rsidR="00824A11" w:rsidRPr="003755B6" w:rsidRDefault="00824A11" w:rsidP="00650A11">
            <w:pPr>
              <w:spacing w:after="0" w:line="240" w:lineRule="auto"/>
              <w:jc w:val="center"/>
              <w:rPr>
                <w:rFonts w:ascii="Arial" w:eastAsia="Times New Roman" w:hAnsi="Arial" w:cs="Arial"/>
                <w:b/>
                <w:bCs/>
                <w:color w:val="000000"/>
                <w:sz w:val="24"/>
                <w:szCs w:val="24"/>
                <w:lang w:eastAsia="en-GB"/>
              </w:rPr>
            </w:pPr>
            <w:r w:rsidRPr="003755B6">
              <w:rPr>
                <w:rFonts w:ascii="Arial" w:eastAsia="Times New Roman" w:hAnsi="Arial" w:cs="Arial"/>
                <w:b/>
                <w:bCs/>
                <w:color w:val="000000"/>
                <w:sz w:val="24"/>
                <w:szCs w:val="24"/>
                <w:lang w:eastAsia="en-GB"/>
              </w:rPr>
              <w:t>Diff 2018-2019</w:t>
            </w:r>
          </w:p>
        </w:tc>
        <w:tc>
          <w:tcPr>
            <w:tcW w:w="1292" w:type="dxa"/>
            <w:shd w:val="clear" w:color="auto" w:fill="auto"/>
            <w:vAlign w:val="center"/>
            <w:hideMark/>
          </w:tcPr>
          <w:p w14:paraId="3FE6572B" w14:textId="77777777" w:rsidR="00824A11" w:rsidRPr="003755B6" w:rsidRDefault="00824A11" w:rsidP="00650A11">
            <w:pPr>
              <w:spacing w:after="0" w:line="240" w:lineRule="auto"/>
              <w:jc w:val="center"/>
              <w:rPr>
                <w:rFonts w:ascii="Arial" w:eastAsia="Times New Roman" w:hAnsi="Arial" w:cs="Arial"/>
                <w:b/>
                <w:bCs/>
                <w:color w:val="000000"/>
                <w:sz w:val="24"/>
                <w:szCs w:val="24"/>
                <w:lang w:eastAsia="en-GB"/>
              </w:rPr>
            </w:pPr>
            <w:r w:rsidRPr="003755B6">
              <w:rPr>
                <w:rFonts w:ascii="Arial" w:eastAsia="Times New Roman" w:hAnsi="Arial" w:cs="Arial"/>
                <w:b/>
                <w:bCs/>
                <w:color w:val="000000"/>
                <w:sz w:val="24"/>
                <w:szCs w:val="24"/>
                <w:lang w:eastAsia="en-GB"/>
              </w:rPr>
              <w:t>Direction</w:t>
            </w:r>
          </w:p>
        </w:tc>
      </w:tr>
      <w:tr w:rsidR="00824A11" w:rsidRPr="003755B6" w14:paraId="322C4E11" w14:textId="77777777" w:rsidTr="00AF286A">
        <w:trPr>
          <w:trHeight w:val="300"/>
        </w:trPr>
        <w:tc>
          <w:tcPr>
            <w:tcW w:w="2458" w:type="dxa"/>
            <w:shd w:val="clear" w:color="auto" w:fill="auto"/>
            <w:noWrap/>
            <w:vAlign w:val="center"/>
            <w:hideMark/>
          </w:tcPr>
          <w:p w14:paraId="29694159" w14:textId="77777777" w:rsidR="00824A11" w:rsidRPr="003755B6" w:rsidRDefault="00824A11" w:rsidP="00650A11">
            <w:pPr>
              <w:spacing w:after="0" w:line="240" w:lineRule="auto"/>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Internal in</w:t>
            </w:r>
          </w:p>
        </w:tc>
        <w:tc>
          <w:tcPr>
            <w:tcW w:w="1484" w:type="dxa"/>
            <w:shd w:val="clear" w:color="auto" w:fill="auto"/>
            <w:vAlign w:val="center"/>
            <w:hideMark/>
          </w:tcPr>
          <w:p w14:paraId="45FCCDC5" w14:textId="21A3CAA8" w:rsidR="00824A11" w:rsidRPr="003755B6" w:rsidRDefault="00824A11" w:rsidP="00650A11">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15,</w:t>
            </w:r>
            <w:r w:rsidR="008921C0" w:rsidRPr="003755B6">
              <w:rPr>
                <w:rFonts w:ascii="Arial" w:eastAsia="Times New Roman" w:hAnsi="Arial" w:cs="Arial"/>
                <w:color w:val="000000"/>
                <w:sz w:val="24"/>
                <w:szCs w:val="24"/>
                <w:lang w:eastAsia="en-GB"/>
              </w:rPr>
              <w:t>919</w:t>
            </w:r>
          </w:p>
        </w:tc>
        <w:tc>
          <w:tcPr>
            <w:tcW w:w="1378" w:type="dxa"/>
            <w:shd w:val="clear" w:color="auto" w:fill="auto"/>
            <w:noWrap/>
            <w:vAlign w:val="center"/>
            <w:hideMark/>
          </w:tcPr>
          <w:p w14:paraId="0E6EE1A0" w14:textId="6F25F7B1" w:rsidR="00824A11" w:rsidRPr="003755B6" w:rsidRDefault="008921C0" w:rsidP="00650A11">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16,911</w:t>
            </w:r>
          </w:p>
        </w:tc>
        <w:tc>
          <w:tcPr>
            <w:tcW w:w="1378" w:type="dxa"/>
            <w:vAlign w:val="center"/>
          </w:tcPr>
          <w:p w14:paraId="4ED26F8C" w14:textId="19054F35" w:rsidR="00824A11" w:rsidRPr="003755B6" w:rsidRDefault="008921C0" w:rsidP="00650A11">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15,499</w:t>
            </w:r>
          </w:p>
        </w:tc>
        <w:tc>
          <w:tcPr>
            <w:tcW w:w="1964" w:type="dxa"/>
            <w:shd w:val="clear" w:color="auto" w:fill="auto"/>
            <w:vAlign w:val="center"/>
          </w:tcPr>
          <w:p w14:paraId="7A0E1F14" w14:textId="41B4ADAE" w:rsidR="00824A11" w:rsidRPr="003755B6" w:rsidRDefault="002701F2" w:rsidP="00650A11">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-1,142</w:t>
            </w:r>
          </w:p>
        </w:tc>
        <w:tc>
          <w:tcPr>
            <w:tcW w:w="1292" w:type="dxa"/>
            <w:shd w:val="clear" w:color="auto" w:fill="auto"/>
            <w:vAlign w:val="center"/>
          </w:tcPr>
          <w:p w14:paraId="0ACB3E93" w14:textId="0FE86592" w:rsidR="00824A11" w:rsidRPr="003755B6" w:rsidRDefault="00051707" w:rsidP="00650A11">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Loss</w:t>
            </w:r>
          </w:p>
        </w:tc>
      </w:tr>
      <w:tr w:rsidR="00576498" w:rsidRPr="003755B6" w14:paraId="33DDD155" w14:textId="77777777" w:rsidTr="00AF286A">
        <w:trPr>
          <w:trHeight w:val="300"/>
        </w:trPr>
        <w:tc>
          <w:tcPr>
            <w:tcW w:w="2458" w:type="dxa"/>
            <w:shd w:val="clear" w:color="auto" w:fill="auto"/>
            <w:noWrap/>
            <w:vAlign w:val="center"/>
            <w:hideMark/>
          </w:tcPr>
          <w:p w14:paraId="68BBB2A6" w14:textId="77777777" w:rsidR="00576498" w:rsidRPr="003755B6" w:rsidRDefault="00576498" w:rsidP="00576498">
            <w:pPr>
              <w:spacing w:after="0" w:line="240" w:lineRule="auto"/>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Internal out</w:t>
            </w:r>
          </w:p>
        </w:tc>
        <w:tc>
          <w:tcPr>
            <w:tcW w:w="1484" w:type="dxa"/>
            <w:shd w:val="clear" w:color="auto" w:fill="auto"/>
            <w:vAlign w:val="center"/>
            <w:hideMark/>
          </w:tcPr>
          <w:p w14:paraId="03C1674B" w14:textId="521E4581" w:rsidR="00576498" w:rsidRPr="003755B6" w:rsidRDefault="00576498" w:rsidP="00576498">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19,955</w:t>
            </w:r>
          </w:p>
        </w:tc>
        <w:tc>
          <w:tcPr>
            <w:tcW w:w="1378" w:type="dxa"/>
            <w:shd w:val="clear" w:color="auto" w:fill="auto"/>
            <w:noWrap/>
            <w:vAlign w:val="center"/>
            <w:hideMark/>
          </w:tcPr>
          <w:p w14:paraId="2DA46BAF" w14:textId="0A984B9C" w:rsidR="00576498" w:rsidRPr="003755B6" w:rsidRDefault="00576498" w:rsidP="00576498">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20,369</w:t>
            </w:r>
          </w:p>
        </w:tc>
        <w:tc>
          <w:tcPr>
            <w:tcW w:w="1378" w:type="dxa"/>
            <w:vAlign w:val="center"/>
          </w:tcPr>
          <w:p w14:paraId="17C3DE56" w14:textId="4ECBDD34" w:rsidR="00576498" w:rsidRPr="003755B6" w:rsidRDefault="00576498" w:rsidP="00576498">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17,637</w:t>
            </w:r>
          </w:p>
        </w:tc>
        <w:tc>
          <w:tcPr>
            <w:tcW w:w="1964" w:type="dxa"/>
            <w:shd w:val="clear" w:color="auto" w:fill="auto"/>
            <w:vAlign w:val="center"/>
          </w:tcPr>
          <w:p w14:paraId="503540D7" w14:textId="64270949" w:rsidR="00576498" w:rsidRPr="003755B6" w:rsidRDefault="00051707" w:rsidP="00576498">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-2,732</w:t>
            </w:r>
          </w:p>
        </w:tc>
        <w:tc>
          <w:tcPr>
            <w:tcW w:w="1292" w:type="dxa"/>
            <w:shd w:val="clear" w:color="auto" w:fill="auto"/>
            <w:vAlign w:val="center"/>
          </w:tcPr>
          <w:p w14:paraId="26054968" w14:textId="77777777" w:rsidR="00576498" w:rsidRPr="003755B6" w:rsidRDefault="00576498" w:rsidP="00576498">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Loss</w:t>
            </w:r>
          </w:p>
        </w:tc>
      </w:tr>
      <w:tr w:rsidR="00576498" w:rsidRPr="003755B6" w14:paraId="464B28AB" w14:textId="77777777" w:rsidTr="00AF286A">
        <w:trPr>
          <w:trHeight w:val="300"/>
        </w:trPr>
        <w:tc>
          <w:tcPr>
            <w:tcW w:w="2458" w:type="dxa"/>
            <w:shd w:val="clear" w:color="auto" w:fill="auto"/>
            <w:noWrap/>
            <w:vAlign w:val="center"/>
            <w:hideMark/>
          </w:tcPr>
          <w:p w14:paraId="5FB46658" w14:textId="77777777" w:rsidR="00576498" w:rsidRPr="003755B6" w:rsidRDefault="00576498" w:rsidP="00576498">
            <w:pPr>
              <w:spacing w:after="0" w:line="240" w:lineRule="auto"/>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Internal net diff</w:t>
            </w:r>
          </w:p>
        </w:tc>
        <w:tc>
          <w:tcPr>
            <w:tcW w:w="1484" w:type="dxa"/>
            <w:shd w:val="clear" w:color="auto" w:fill="auto"/>
            <w:vAlign w:val="center"/>
            <w:hideMark/>
          </w:tcPr>
          <w:p w14:paraId="26C72E37" w14:textId="5B619EF3" w:rsidR="00576498" w:rsidRPr="003755B6" w:rsidRDefault="00576498" w:rsidP="00576498">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-4,036</w:t>
            </w:r>
          </w:p>
        </w:tc>
        <w:tc>
          <w:tcPr>
            <w:tcW w:w="1378" w:type="dxa"/>
            <w:shd w:val="clear" w:color="auto" w:fill="auto"/>
            <w:noWrap/>
            <w:vAlign w:val="center"/>
            <w:hideMark/>
          </w:tcPr>
          <w:p w14:paraId="4244AB34" w14:textId="3F1909BF" w:rsidR="00576498" w:rsidRPr="003755B6" w:rsidRDefault="00576498" w:rsidP="00576498">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w:t>
            </w:r>
            <w:r w:rsidR="00B13CBF" w:rsidRPr="003755B6">
              <w:rPr>
                <w:rFonts w:ascii="Arial" w:eastAsia="Times New Roman" w:hAnsi="Arial" w:cs="Arial"/>
                <w:color w:val="000000"/>
                <w:sz w:val="24"/>
                <w:szCs w:val="24"/>
                <w:lang w:eastAsia="en-GB"/>
              </w:rPr>
              <w:t>3,458</w:t>
            </w:r>
          </w:p>
        </w:tc>
        <w:tc>
          <w:tcPr>
            <w:tcW w:w="1378" w:type="dxa"/>
            <w:vAlign w:val="center"/>
          </w:tcPr>
          <w:p w14:paraId="5F68BEB5" w14:textId="1E9B07A1" w:rsidR="00576498" w:rsidRPr="003755B6" w:rsidRDefault="00576498" w:rsidP="00576498">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w:t>
            </w:r>
            <w:r w:rsidR="00B13CBF" w:rsidRPr="003755B6">
              <w:rPr>
                <w:rFonts w:ascii="Arial" w:eastAsia="Times New Roman" w:hAnsi="Arial" w:cs="Arial"/>
                <w:color w:val="000000"/>
                <w:sz w:val="24"/>
                <w:szCs w:val="24"/>
                <w:lang w:eastAsia="en-GB"/>
              </w:rPr>
              <w:t>2,138</w:t>
            </w:r>
          </w:p>
        </w:tc>
        <w:tc>
          <w:tcPr>
            <w:tcW w:w="1964" w:type="dxa"/>
            <w:shd w:val="clear" w:color="auto" w:fill="auto"/>
            <w:vAlign w:val="center"/>
          </w:tcPr>
          <w:p w14:paraId="50691745" w14:textId="43C9C59D" w:rsidR="00576498" w:rsidRPr="003755B6" w:rsidRDefault="00051707" w:rsidP="00576498">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1,320</w:t>
            </w:r>
          </w:p>
        </w:tc>
        <w:tc>
          <w:tcPr>
            <w:tcW w:w="1292" w:type="dxa"/>
            <w:shd w:val="clear" w:color="auto" w:fill="auto"/>
            <w:vAlign w:val="center"/>
          </w:tcPr>
          <w:p w14:paraId="6AAE9305" w14:textId="6206B1C4" w:rsidR="00576498" w:rsidRPr="003755B6" w:rsidRDefault="00051707" w:rsidP="00576498">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Gain</w:t>
            </w:r>
          </w:p>
        </w:tc>
      </w:tr>
      <w:tr w:rsidR="00B13CBF" w:rsidRPr="003755B6" w14:paraId="11FDC821" w14:textId="77777777" w:rsidTr="00AF286A">
        <w:trPr>
          <w:trHeight w:val="300"/>
        </w:trPr>
        <w:tc>
          <w:tcPr>
            <w:tcW w:w="2458" w:type="dxa"/>
            <w:shd w:val="clear" w:color="auto" w:fill="auto"/>
            <w:noWrap/>
            <w:vAlign w:val="center"/>
            <w:hideMark/>
          </w:tcPr>
          <w:p w14:paraId="4C63F9A5" w14:textId="77777777" w:rsidR="00B13CBF" w:rsidRPr="003755B6" w:rsidRDefault="00B13CBF" w:rsidP="00B13CBF">
            <w:pPr>
              <w:spacing w:after="0" w:line="240" w:lineRule="auto"/>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International in</w:t>
            </w:r>
          </w:p>
        </w:tc>
        <w:tc>
          <w:tcPr>
            <w:tcW w:w="1484" w:type="dxa"/>
            <w:shd w:val="clear" w:color="auto" w:fill="auto"/>
            <w:vAlign w:val="center"/>
          </w:tcPr>
          <w:p w14:paraId="326CFA65" w14:textId="0AFF07DF" w:rsidR="00B13CBF" w:rsidRPr="003755B6" w:rsidRDefault="00B13CBF" w:rsidP="00B13CBF">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4,631</w:t>
            </w:r>
          </w:p>
        </w:tc>
        <w:tc>
          <w:tcPr>
            <w:tcW w:w="1378" w:type="dxa"/>
            <w:shd w:val="clear" w:color="auto" w:fill="auto"/>
            <w:noWrap/>
            <w:vAlign w:val="center"/>
            <w:hideMark/>
          </w:tcPr>
          <w:p w14:paraId="19CECB29" w14:textId="76DB90A8" w:rsidR="00B13CBF" w:rsidRPr="003755B6" w:rsidRDefault="00B13CBF" w:rsidP="00B13CBF">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4,345</w:t>
            </w:r>
          </w:p>
        </w:tc>
        <w:tc>
          <w:tcPr>
            <w:tcW w:w="1378" w:type="dxa"/>
            <w:vAlign w:val="center"/>
          </w:tcPr>
          <w:p w14:paraId="2D54AEE6" w14:textId="79443668" w:rsidR="00B13CBF" w:rsidRPr="003755B6" w:rsidRDefault="00AF286A" w:rsidP="00B13CBF">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4,022</w:t>
            </w:r>
          </w:p>
        </w:tc>
        <w:tc>
          <w:tcPr>
            <w:tcW w:w="1964" w:type="dxa"/>
            <w:shd w:val="clear" w:color="auto" w:fill="auto"/>
            <w:vAlign w:val="center"/>
          </w:tcPr>
          <w:p w14:paraId="24C68094" w14:textId="16160A07" w:rsidR="00B13CBF" w:rsidRPr="003755B6" w:rsidRDefault="00051707" w:rsidP="00B13CBF">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-323</w:t>
            </w:r>
          </w:p>
        </w:tc>
        <w:tc>
          <w:tcPr>
            <w:tcW w:w="1292" w:type="dxa"/>
            <w:shd w:val="clear" w:color="auto" w:fill="auto"/>
            <w:vAlign w:val="center"/>
          </w:tcPr>
          <w:p w14:paraId="6E3F6B21" w14:textId="77777777" w:rsidR="00B13CBF" w:rsidRPr="003755B6" w:rsidRDefault="00B13CBF" w:rsidP="00B13CBF">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Loss</w:t>
            </w:r>
          </w:p>
        </w:tc>
      </w:tr>
      <w:tr w:rsidR="00B13CBF" w:rsidRPr="003755B6" w14:paraId="164A7627" w14:textId="77777777" w:rsidTr="00AF286A">
        <w:trPr>
          <w:trHeight w:val="300"/>
        </w:trPr>
        <w:tc>
          <w:tcPr>
            <w:tcW w:w="2458" w:type="dxa"/>
            <w:shd w:val="clear" w:color="auto" w:fill="auto"/>
            <w:noWrap/>
            <w:vAlign w:val="center"/>
            <w:hideMark/>
          </w:tcPr>
          <w:p w14:paraId="4FF34645" w14:textId="77777777" w:rsidR="00B13CBF" w:rsidRPr="003755B6" w:rsidRDefault="00B13CBF" w:rsidP="00B13CBF">
            <w:pPr>
              <w:spacing w:after="0" w:line="240" w:lineRule="auto"/>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International out</w:t>
            </w:r>
          </w:p>
        </w:tc>
        <w:tc>
          <w:tcPr>
            <w:tcW w:w="1484" w:type="dxa"/>
            <w:shd w:val="clear" w:color="auto" w:fill="auto"/>
            <w:vAlign w:val="center"/>
          </w:tcPr>
          <w:p w14:paraId="42DBAC51" w14:textId="604975E4" w:rsidR="00B13CBF" w:rsidRPr="003755B6" w:rsidRDefault="00B13CBF" w:rsidP="00B13CBF">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1,429</w:t>
            </w:r>
          </w:p>
        </w:tc>
        <w:tc>
          <w:tcPr>
            <w:tcW w:w="1378" w:type="dxa"/>
            <w:shd w:val="clear" w:color="auto" w:fill="auto"/>
            <w:noWrap/>
            <w:vAlign w:val="center"/>
            <w:hideMark/>
          </w:tcPr>
          <w:p w14:paraId="006E84CF" w14:textId="15CF8392" w:rsidR="00B13CBF" w:rsidRPr="003755B6" w:rsidRDefault="00B13CBF" w:rsidP="00B13CBF">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1,955</w:t>
            </w:r>
          </w:p>
        </w:tc>
        <w:tc>
          <w:tcPr>
            <w:tcW w:w="1378" w:type="dxa"/>
            <w:vAlign w:val="center"/>
          </w:tcPr>
          <w:p w14:paraId="2AE9A376" w14:textId="6BF8B5C0" w:rsidR="00B13CBF" w:rsidRPr="003755B6" w:rsidRDefault="00AF286A" w:rsidP="00B13CBF">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2,304</w:t>
            </w:r>
          </w:p>
        </w:tc>
        <w:tc>
          <w:tcPr>
            <w:tcW w:w="1964" w:type="dxa"/>
            <w:shd w:val="clear" w:color="auto" w:fill="auto"/>
            <w:vAlign w:val="center"/>
          </w:tcPr>
          <w:p w14:paraId="6030AA6D" w14:textId="126E1EC8" w:rsidR="00B13CBF" w:rsidRPr="003755B6" w:rsidRDefault="00051707" w:rsidP="00B13CBF">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349</w:t>
            </w:r>
          </w:p>
        </w:tc>
        <w:tc>
          <w:tcPr>
            <w:tcW w:w="1292" w:type="dxa"/>
            <w:shd w:val="clear" w:color="auto" w:fill="auto"/>
            <w:vAlign w:val="center"/>
          </w:tcPr>
          <w:p w14:paraId="460704A8" w14:textId="7E59E0D2" w:rsidR="00B13CBF" w:rsidRPr="003755B6" w:rsidRDefault="00051707" w:rsidP="00B13CBF">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Gain</w:t>
            </w:r>
          </w:p>
        </w:tc>
      </w:tr>
      <w:tr w:rsidR="00B13CBF" w:rsidRPr="003755B6" w14:paraId="579B848B" w14:textId="77777777" w:rsidTr="00AF286A">
        <w:trPr>
          <w:trHeight w:val="300"/>
        </w:trPr>
        <w:tc>
          <w:tcPr>
            <w:tcW w:w="2458" w:type="dxa"/>
            <w:shd w:val="clear" w:color="auto" w:fill="auto"/>
            <w:noWrap/>
            <w:vAlign w:val="center"/>
            <w:hideMark/>
          </w:tcPr>
          <w:p w14:paraId="41A376D5" w14:textId="77777777" w:rsidR="00B13CBF" w:rsidRPr="003755B6" w:rsidRDefault="00B13CBF" w:rsidP="00B13CBF">
            <w:pPr>
              <w:spacing w:after="0" w:line="240" w:lineRule="auto"/>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International net diff</w:t>
            </w:r>
          </w:p>
        </w:tc>
        <w:tc>
          <w:tcPr>
            <w:tcW w:w="1484" w:type="dxa"/>
            <w:shd w:val="clear" w:color="auto" w:fill="auto"/>
            <w:vAlign w:val="center"/>
          </w:tcPr>
          <w:p w14:paraId="371299DA" w14:textId="54F743CA" w:rsidR="00B13CBF" w:rsidRPr="003755B6" w:rsidRDefault="00B13CBF" w:rsidP="00B13CBF">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3,202</w:t>
            </w:r>
          </w:p>
        </w:tc>
        <w:tc>
          <w:tcPr>
            <w:tcW w:w="1378" w:type="dxa"/>
            <w:shd w:val="clear" w:color="auto" w:fill="auto"/>
            <w:noWrap/>
            <w:vAlign w:val="center"/>
            <w:hideMark/>
          </w:tcPr>
          <w:p w14:paraId="5FA51D2E" w14:textId="23A03017" w:rsidR="00B13CBF" w:rsidRPr="003755B6" w:rsidRDefault="00B13CBF" w:rsidP="00B13CBF">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2,390</w:t>
            </w:r>
          </w:p>
        </w:tc>
        <w:tc>
          <w:tcPr>
            <w:tcW w:w="1378" w:type="dxa"/>
            <w:vAlign w:val="center"/>
          </w:tcPr>
          <w:p w14:paraId="5C5D5782" w14:textId="4137D748" w:rsidR="00B13CBF" w:rsidRPr="003755B6" w:rsidRDefault="00AF286A" w:rsidP="00B13CBF">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1,718</w:t>
            </w:r>
          </w:p>
        </w:tc>
        <w:tc>
          <w:tcPr>
            <w:tcW w:w="1964" w:type="dxa"/>
            <w:shd w:val="clear" w:color="auto" w:fill="auto"/>
            <w:vAlign w:val="center"/>
          </w:tcPr>
          <w:p w14:paraId="03F3025A" w14:textId="0A275962" w:rsidR="00B13CBF" w:rsidRPr="003755B6" w:rsidRDefault="00051707" w:rsidP="00B13CBF">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-672</w:t>
            </w:r>
          </w:p>
        </w:tc>
        <w:tc>
          <w:tcPr>
            <w:tcW w:w="1292" w:type="dxa"/>
            <w:shd w:val="clear" w:color="auto" w:fill="auto"/>
            <w:vAlign w:val="center"/>
          </w:tcPr>
          <w:p w14:paraId="1CADEE4B" w14:textId="77777777" w:rsidR="00B13CBF" w:rsidRPr="003755B6" w:rsidRDefault="00B13CBF" w:rsidP="00B13CBF">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Loss</w:t>
            </w:r>
          </w:p>
        </w:tc>
      </w:tr>
      <w:tr w:rsidR="00B13CBF" w:rsidRPr="003755B6" w14:paraId="1C87F2DF" w14:textId="77777777" w:rsidTr="00AF286A">
        <w:trPr>
          <w:trHeight w:val="300"/>
        </w:trPr>
        <w:tc>
          <w:tcPr>
            <w:tcW w:w="2458" w:type="dxa"/>
            <w:shd w:val="clear" w:color="auto" w:fill="auto"/>
            <w:noWrap/>
            <w:vAlign w:val="center"/>
          </w:tcPr>
          <w:p w14:paraId="0438A569" w14:textId="77777777" w:rsidR="00B13CBF" w:rsidRPr="003755B6" w:rsidRDefault="00B13CBF" w:rsidP="00B13CBF">
            <w:pPr>
              <w:spacing w:after="0" w:line="240" w:lineRule="auto"/>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Overall net diff</w:t>
            </w:r>
          </w:p>
        </w:tc>
        <w:tc>
          <w:tcPr>
            <w:tcW w:w="1484" w:type="dxa"/>
            <w:shd w:val="clear" w:color="auto" w:fill="auto"/>
            <w:vAlign w:val="center"/>
          </w:tcPr>
          <w:p w14:paraId="0C2E699D" w14:textId="5361B6E0" w:rsidR="00B13CBF" w:rsidRPr="003755B6" w:rsidRDefault="00B13CBF" w:rsidP="00B13CBF">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-834</w:t>
            </w:r>
          </w:p>
        </w:tc>
        <w:tc>
          <w:tcPr>
            <w:tcW w:w="1378" w:type="dxa"/>
            <w:shd w:val="clear" w:color="auto" w:fill="auto"/>
            <w:noWrap/>
            <w:vAlign w:val="center"/>
          </w:tcPr>
          <w:p w14:paraId="6B9675EA" w14:textId="4348DBE5" w:rsidR="00B13CBF" w:rsidRPr="003755B6" w:rsidRDefault="00B13CBF" w:rsidP="00B13CBF">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-1,068</w:t>
            </w:r>
          </w:p>
        </w:tc>
        <w:tc>
          <w:tcPr>
            <w:tcW w:w="1378" w:type="dxa"/>
            <w:vAlign w:val="center"/>
          </w:tcPr>
          <w:p w14:paraId="06366F99" w14:textId="58794463" w:rsidR="00B13CBF" w:rsidRPr="003755B6" w:rsidRDefault="00AF286A" w:rsidP="00B13CBF">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-420</w:t>
            </w:r>
          </w:p>
        </w:tc>
        <w:tc>
          <w:tcPr>
            <w:tcW w:w="1964" w:type="dxa"/>
            <w:shd w:val="clear" w:color="auto" w:fill="auto"/>
            <w:vAlign w:val="center"/>
          </w:tcPr>
          <w:p w14:paraId="7163EF1C" w14:textId="229CC1AC" w:rsidR="00B13CBF" w:rsidRPr="003755B6" w:rsidRDefault="00051707" w:rsidP="00B13CBF">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w:t>
            </w:r>
          </w:p>
        </w:tc>
        <w:tc>
          <w:tcPr>
            <w:tcW w:w="1292" w:type="dxa"/>
            <w:shd w:val="clear" w:color="auto" w:fill="auto"/>
            <w:vAlign w:val="center"/>
          </w:tcPr>
          <w:p w14:paraId="21D8FDA9" w14:textId="52A0ED6F" w:rsidR="00B13CBF" w:rsidRPr="003755B6" w:rsidRDefault="00051707" w:rsidP="00B13CBF">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w:t>
            </w:r>
          </w:p>
        </w:tc>
      </w:tr>
    </w:tbl>
    <w:p w14:paraId="5D290BC3" w14:textId="77777777" w:rsidR="00F90131" w:rsidRPr="003755B6" w:rsidRDefault="00F90131" w:rsidP="009B28B6">
      <w:pPr>
        <w:autoSpaceDE w:val="0"/>
        <w:autoSpaceDN w:val="0"/>
        <w:adjustRightInd w:val="0"/>
        <w:spacing w:after="0" w:line="240" w:lineRule="auto"/>
        <w:rPr>
          <w:rFonts w:ascii="Arial" w:hAnsi="Arial" w:cs="Arial"/>
          <w:b/>
          <w:noProof/>
          <w:sz w:val="24"/>
          <w:szCs w:val="24"/>
          <w:lang w:eastAsia="en-GB"/>
        </w:rPr>
      </w:pPr>
    </w:p>
    <w:p w14:paraId="5D290BC4" w14:textId="2D85148E" w:rsidR="002100A2" w:rsidRPr="003755B6" w:rsidRDefault="002100A2" w:rsidP="008B23C0">
      <w:pPr>
        <w:autoSpaceDE w:val="0"/>
        <w:autoSpaceDN w:val="0"/>
        <w:adjustRightInd w:val="0"/>
        <w:spacing w:after="0"/>
        <w:rPr>
          <w:rFonts w:ascii="Arial" w:hAnsi="Arial" w:cs="Arial"/>
          <w:b/>
          <w:sz w:val="24"/>
          <w:szCs w:val="24"/>
        </w:rPr>
      </w:pPr>
      <w:r w:rsidRPr="003755B6">
        <w:rPr>
          <w:rFonts w:ascii="Arial" w:hAnsi="Arial" w:cs="Arial"/>
          <w:b/>
          <w:noProof/>
          <w:sz w:val="24"/>
          <w:szCs w:val="24"/>
          <w:lang w:eastAsia="en-GB"/>
        </w:rPr>
        <w:t>ONS 201</w:t>
      </w:r>
      <w:r w:rsidR="00871286" w:rsidRPr="003755B6">
        <w:rPr>
          <w:rFonts w:ascii="Arial" w:hAnsi="Arial" w:cs="Arial"/>
          <w:b/>
          <w:noProof/>
          <w:sz w:val="24"/>
          <w:szCs w:val="24"/>
          <w:lang w:eastAsia="en-GB"/>
        </w:rPr>
        <w:t>8</w:t>
      </w:r>
      <w:r w:rsidRPr="003755B6">
        <w:rPr>
          <w:rFonts w:ascii="Arial" w:hAnsi="Arial" w:cs="Arial"/>
          <w:b/>
          <w:noProof/>
          <w:sz w:val="24"/>
          <w:szCs w:val="24"/>
          <w:lang w:eastAsia="en-GB"/>
        </w:rPr>
        <w:t>-based Subnational Population Projections (SNPP)</w:t>
      </w:r>
    </w:p>
    <w:p w14:paraId="734E0EC1" w14:textId="77777777" w:rsidR="00936CB8" w:rsidRPr="003755B6" w:rsidRDefault="00936CB8" w:rsidP="008B23C0">
      <w:pPr>
        <w:spacing w:after="0"/>
        <w:rPr>
          <w:rFonts w:ascii="Arial" w:hAnsi="Arial" w:cs="Arial"/>
          <w:noProof/>
          <w:sz w:val="24"/>
          <w:szCs w:val="24"/>
          <w:lang w:eastAsia="en-GB"/>
        </w:rPr>
      </w:pPr>
    </w:p>
    <w:p w14:paraId="7027EDA8" w14:textId="6BA23F18" w:rsidR="00932AFF" w:rsidRPr="003755B6" w:rsidRDefault="002100A2" w:rsidP="00932AFF">
      <w:pPr>
        <w:spacing w:after="0" w:line="240" w:lineRule="auto"/>
        <w:rPr>
          <w:rFonts w:ascii="Arial" w:hAnsi="Arial" w:cs="Arial"/>
          <w:sz w:val="24"/>
          <w:szCs w:val="24"/>
        </w:rPr>
      </w:pPr>
      <w:r w:rsidRPr="003755B6">
        <w:rPr>
          <w:rFonts w:ascii="Arial" w:hAnsi="Arial" w:cs="Arial"/>
          <w:noProof/>
          <w:sz w:val="24"/>
          <w:szCs w:val="24"/>
          <w:lang w:eastAsia="en-GB"/>
        </w:rPr>
        <w:t xml:space="preserve">Published </w:t>
      </w:r>
      <w:r w:rsidR="009A7F95" w:rsidRPr="003755B6">
        <w:rPr>
          <w:rFonts w:ascii="Arial" w:hAnsi="Arial" w:cs="Arial"/>
          <w:noProof/>
          <w:sz w:val="24"/>
          <w:szCs w:val="24"/>
          <w:lang w:eastAsia="en-GB"/>
        </w:rPr>
        <w:t xml:space="preserve">on </w:t>
      </w:r>
      <w:r w:rsidR="009376FC" w:rsidRPr="003755B6">
        <w:rPr>
          <w:rFonts w:ascii="Arial" w:hAnsi="Arial" w:cs="Arial"/>
          <w:noProof/>
          <w:sz w:val="24"/>
          <w:szCs w:val="24"/>
          <w:lang w:eastAsia="en-GB"/>
        </w:rPr>
        <w:t>24</w:t>
      </w:r>
      <w:r w:rsidR="009376FC" w:rsidRPr="003755B6">
        <w:rPr>
          <w:rFonts w:ascii="Arial" w:hAnsi="Arial" w:cs="Arial"/>
          <w:noProof/>
          <w:sz w:val="24"/>
          <w:szCs w:val="24"/>
          <w:vertAlign w:val="superscript"/>
          <w:lang w:eastAsia="en-GB"/>
        </w:rPr>
        <w:t>th</w:t>
      </w:r>
      <w:r w:rsidR="009376FC" w:rsidRPr="003755B6">
        <w:rPr>
          <w:rFonts w:ascii="Arial" w:hAnsi="Arial" w:cs="Arial"/>
          <w:noProof/>
          <w:sz w:val="24"/>
          <w:szCs w:val="24"/>
          <w:lang w:eastAsia="en-GB"/>
        </w:rPr>
        <w:t xml:space="preserve"> M</w:t>
      </w:r>
      <w:r w:rsidR="009A7F95" w:rsidRPr="003755B6">
        <w:rPr>
          <w:rFonts w:ascii="Arial" w:hAnsi="Arial" w:cs="Arial"/>
          <w:noProof/>
          <w:sz w:val="24"/>
          <w:szCs w:val="24"/>
          <w:lang w:eastAsia="en-GB"/>
        </w:rPr>
        <w:t>arch 2020</w:t>
      </w:r>
      <w:r w:rsidRPr="003755B6">
        <w:rPr>
          <w:rFonts w:ascii="Arial" w:hAnsi="Arial" w:cs="Arial"/>
          <w:noProof/>
          <w:sz w:val="24"/>
          <w:szCs w:val="24"/>
          <w:lang w:eastAsia="en-GB"/>
        </w:rPr>
        <w:t xml:space="preserve">, the SNPP suggest that </w:t>
      </w:r>
      <w:r w:rsidR="009376FC" w:rsidRPr="003755B6">
        <w:rPr>
          <w:rFonts w:ascii="Arial" w:hAnsi="Arial" w:cs="Arial"/>
          <w:noProof/>
          <w:sz w:val="24"/>
          <w:szCs w:val="24"/>
          <w:lang w:eastAsia="en-GB"/>
        </w:rPr>
        <w:t xml:space="preserve">the populations of </w:t>
      </w:r>
      <w:r w:rsidRPr="003755B6">
        <w:rPr>
          <w:rFonts w:ascii="Arial" w:hAnsi="Arial" w:cs="Arial"/>
          <w:noProof/>
          <w:sz w:val="24"/>
          <w:szCs w:val="24"/>
          <w:lang w:eastAsia="en-GB"/>
        </w:rPr>
        <w:t xml:space="preserve">all regions </w:t>
      </w:r>
      <w:r w:rsidR="009376FC" w:rsidRPr="003755B6">
        <w:rPr>
          <w:rFonts w:ascii="Arial" w:hAnsi="Arial" w:cs="Arial"/>
          <w:noProof/>
          <w:sz w:val="24"/>
          <w:szCs w:val="24"/>
          <w:lang w:eastAsia="en-GB"/>
        </w:rPr>
        <w:t>within</w:t>
      </w:r>
      <w:r w:rsidRPr="003755B6">
        <w:rPr>
          <w:rFonts w:ascii="Arial" w:hAnsi="Arial" w:cs="Arial"/>
          <w:noProof/>
          <w:sz w:val="24"/>
          <w:szCs w:val="24"/>
          <w:lang w:eastAsia="en-GB"/>
        </w:rPr>
        <w:t xml:space="preserve"> England are projected to </w:t>
      </w:r>
      <w:r w:rsidR="001C02AD" w:rsidRPr="003755B6">
        <w:rPr>
          <w:rFonts w:ascii="Arial" w:hAnsi="Arial" w:cs="Arial"/>
          <w:noProof/>
          <w:sz w:val="24"/>
          <w:szCs w:val="24"/>
          <w:lang w:eastAsia="en-GB"/>
        </w:rPr>
        <w:t xml:space="preserve">grow </w:t>
      </w:r>
      <w:r w:rsidR="009376FC" w:rsidRPr="003755B6">
        <w:rPr>
          <w:rFonts w:ascii="Arial" w:hAnsi="Arial" w:cs="Arial"/>
          <w:noProof/>
          <w:sz w:val="24"/>
          <w:szCs w:val="24"/>
          <w:lang w:eastAsia="en-GB"/>
        </w:rPr>
        <w:t>by mid-2028.</w:t>
      </w:r>
      <w:r w:rsidR="00AF32E3" w:rsidRPr="003755B6">
        <w:rPr>
          <w:rFonts w:ascii="Arial" w:hAnsi="Arial" w:cs="Arial"/>
          <w:noProof/>
          <w:sz w:val="24"/>
          <w:szCs w:val="24"/>
          <w:lang w:eastAsia="en-GB"/>
        </w:rPr>
        <w:t xml:space="preserve">  All regions are projected to have a greater proportion of people aged 65 and over by mid-2028.</w:t>
      </w:r>
      <w:r w:rsidR="00977886" w:rsidRPr="003755B6">
        <w:rPr>
          <w:rFonts w:ascii="Arial" w:hAnsi="Arial" w:cs="Arial"/>
          <w:noProof/>
          <w:sz w:val="24"/>
          <w:szCs w:val="24"/>
          <w:lang w:eastAsia="en-GB"/>
        </w:rPr>
        <w:t xml:space="preserve">  </w:t>
      </w:r>
      <w:r w:rsidR="00977886" w:rsidRPr="003755B6">
        <w:rPr>
          <w:rFonts w:ascii="Arial" w:hAnsi="Arial" w:cs="Arial"/>
          <w:sz w:val="24"/>
          <w:szCs w:val="24"/>
        </w:rPr>
        <w:t>London is still the largest growing region but no longer the fastest growing as it was in the 2016 SNNPs, it has dropped to 5</w:t>
      </w:r>
      <w:r w:rsidR="00977886" w:rsidRPr="003755B6">
        <w:rPr>
          <w:rFonts w:ascii="Arial" w:hAnsi="Arial" w:cs="Arial"/>
          <w:sz w:val="24"/>
          <w:szCs w:val="24"/>
          <w:vertAlign w:val="superscript"/>
        </w:rPr>
        <w:t>th</w:t>
      </w:r>
      <w:r w:rsidR="00977886" w:rsidRPr="003755B6">
        <w:rPr>
          <w:rFonts w:ascii="Arial" w:hAnsi="Arial" w:cs="Arial"/>
          <w:sz w:val="24"/>
          <w:szCs w:val="24"/>
        </w:rPr>
        <w:t xml:space="preserve"> place in 2018.</w:t>
      </w:r>
    </w:p>
    <w:p w14:paraId="4A5B6345" w14:textId="2EFC291B" w:rsidR="0050445A" w:rsidRPr="003755B6" w:rsidRDefault="0050445A" w:rsidP="00932AFF">
      <w:pPr>
        <w:spacing w:after="0" w:line="240" w:lineRule="auto"/>
        <w:rPr>
          <w:rFonts w:ascii="Arial" w:hAnsi="Arial" w:cs="Arial"/>
          <w:sz w:val="24"/>
          <w:szCs w:val="24"/>
        </w:rPr>
      </w:pPr>
    </w:p>
    <w:p w14:paraId="1AC1BEE3" w14:textId="536D564A" w:rsidR="0050445A" w:rsidRDefault="0050445A" w:rsidP="00932AFF">
      <w:pPr>
        <w:spacing w:after="0" w:line="240" w:lineRule="auto"/>
        <w:rPr>
          <w:rFonts w:ascii="Arial" w:hAnsi="Arial" w:cs="Arial"/>
          <w:b/>
          <w:bCs/>
          <w:sz w:val="24"/>
          <w:szCs w:val="24"/>
        </w:rPr>
      </w:pPr>
      <w:r w:rsidRPr="003755B6">
        <w:rPr>
          <w:rFonts w:ascii="Arial" w:hAnsi="Arial" w:cs="Arial"/>
          <w:b/>
          <w:bCs/>
          <w:sz w:val="24"/>
          <w:szCs w:val="24"/>
        </w:rPr>
        <w:t>Local Authorities</w:t>
      </w:r>
    </w:p>
    <w:p w14:paraId="2494286E" w14:textId="77777777" w:rsidR="0052152F" w:rsidRPr="003755B6" w:rsidRDefault="0052152F" w:rsidP="00932AFF">
      <w:pPr>
        <w:spacing w:after="0" w:line="240" w:lineRule="auto"/>
        <w:rPr>
          <w:rFonts w:ascii="Arial" w:hAnsi="Arial" w:cs="Arial"/>
          <w:b/>
          <w:bCs/>
          <w:sz w:val="24"/>
          <w:szCs w:val="24"/>
        </w:rPr>
      </w:pPr>
    </w:p>
    <w:p w14:paraId="705D6A3B" w14:textId="4B537B2A" w:rsidR="0050445A" w:rsidRPr="003755B6" w:rsidRDefault="0050445A" w:rsidP="00F268B2">
      <w:pPr>
        <w:spacing w:after="0" w:line="240" w:lineRule="auto"/>
        <w:rPr>
          <w:rFonts w:ascii="Arial" w:hAnsi="Arial" w:cs="Arial"/>
          <w:sz w:val="24"/>
          <w:szCs w:val="24"/>
        </w:rPr>
      </w:pPr>
      <w:r w:rsidRPr="003755B6">
        <w:rPr>
          <w:rFonts w:ascii="Arial" w:hAnsi="Arial" w:cs="Arial"/>
          <w:sz w:val="24"/>
          <w:szCs w:val="24"/>
        </w:rPr>
        <w:t>Population projections at local authority level are especially subject to annual local fluctuations in source data.  Also, the actual local population change will be influenced by local economic development and housing policies.</w:t>
      </w:r>
    </w:p>
    <w:p w14:paraId="5CA8E794" w14:textId="77777777" w:rsidR="00F268B2" w:rsidRPr="003755B6" w:rsidRDefault="00F268B2" w:rsidP="00F268B2">
      <w:pPr>
        <w:spacing w:after="0" w:line="240" w:lineRule="auto"/>
        <w:rPr>
          <w:rFonts w:ascii="Arial" w:hAnsi="Arial" w:cs="Arial"/>
          <w:sz w:val="24"/>
          <w:szCs w:val="24"/>
        </w:rPr>
      </w:pPr>
    </w:p>
    <w:p w14:paraId="098DD8AE" w14:textId="5BB8ADC1" w:rsidR="0050445A" w:rsidRPr="003755B6" w:rsidRDefault="0050445A" w:rsidP="00F268B2">
      <w:pPr>
        <w:spacing w:line="240" w:lineRule="auto"/>
        <w:rPr>
          <w:rFonts w:ascii="Arial" w:hAnsi="Arial" w:cs="Arial"/>
          <w:sz w:val="24"/>
          <w:szCs w:val="24"/>
        </w:rPr>
      </w:pPr>
      <w:r w:rsidRPr="003755B6">
        <w:rPr>
          <w:rFonts w:ascii="Arial" w:hAnsi="Arial" w:cs="Arial"/>
          <w:sz w:val="24"/>
          <w:szCs w:val="24"/>
        </w:rPr>
        <w:t>Nearly all local authorities are projected to grow by mid-2028.  Of the LAs with the highest projected population growth from 2018 to 2028 the only London borough is Tower Hamlets.  Of the LAs with the highest projected population decline from 2018 to 2028 the only London borough is Ealing.</w:t>
      </w:r>
    </w:p>
    <w:p w14:paraId="1561FE03" w14:textId="77777777" w:rsidR="00F268B2" w:rsidRPr="003755B6" w:rsidRDefault="00F268B2">
      <w:pPr>
        <w:spacing w:after="0" w:line="240" w:lineRule="auto"/>
        <w:rPr>
          <w:rFonts w:ascii="Arial" w:hAnsi="Arial" w:cs="Arial"/>
          <w:b/>
          <w:sz w:val="24"/>
          <w:szCs w:val="24"/>
        </w:rPr>
      </w:pPr>
      <w:r w:rsidRPr="003755B6">
        <w:rPr>
          <w:rFonts w:ascii="Arial" w:hAnsi="Arial" w:cs="Arial"/>
          <w:b/>
          <w:sz w:val="24"/>
          <w:szCs w:val="24"/>
        </w:rPr>
        <w:br w:type="page"/>
      </w:r>
    </w:p>
    <w:p w14:paraId="29487F3A" w14:textId="3C25E8D5" w:rsidR="009630D4" w:rsidRPr="003755B6" w:rsidRDefault="009630D4" w:rsidP="009630D4">
      <w:pPr>
        <w:rPr>
          <w:rFonts w:ascii="Arial" w:hAnsi="Arial" w:cs="Arial"/>
          <w:b/>
          <w:sz w:val="24"/>
          <w:szCs w:val="24"/>
        </w:rPr>
      </w:pPr>
      <w:r w:rsidRPr="003755B6">
        <w:rPr>
          <w:rFonts w:ascii="Arial" w:hAnsi="Arial" w:cs="Arial"/>
          <w:b/>
          <w:sz w:val="24"/>
          <w:szCs w:val="24"/>
        </w:rPr>
        <w:lastRenderedPageBreak/>
        <w:t>Harrow’s 2018-based SNPPs</w:t>
      </w:r>
    </w:p>
    <w:p w14:paraId="673CE8AF" w14:textId="77777777" w:rsidR="001E61CC" w:rsidRPr="003755B6" w:rsidRDefault="001E61CC" w:rsidP="001E61CC">
      <w:pPr>
        <w:spacing w:after="0"/>
        <w:rPr>
          <w:rFonts w:ascii="Arial" w:hAnsi="Arial" w:cs="Arial"/>
          <w:b/>
          <w:sz w:val="24"/>
          <w:szCs w:val="24"/>
        </w:rPr>
      </w:pPr>
      <w:r w:rsidRPr="003755B6">
        <w:rPr>
          <w:rFonts w:ascii="Arial" w:hAnsi="Arial" w:cs="Arial"/>
          <w:b/>
          <w:sz w:val="24"/>
          <w:szCs w:val="24"/>
        </w:rPr>
        <w:t>Harrow’s population</w:t>
      </w:r>
    </w:p>
    <w:p w14:paraId="720291C9" w14:textId="54E176B9" w:rsidR="000E229E" w:rsidRPr="003755B6" w:rsidRDefault="005A4568" w:rsidP="000E229E">
      <w:pPr>
        <w:spacing w:after="0" w:line="240" w:lineRule="auto"/>
        <w:rPr>
          <w:rFonts w:ascii="Arial" w:hAnsi="Arial" w:cs="Arial"/>
          <w:sz w:val="24"/>
          <w:szCs w:val="24"/>
        </w:rPr>
      </w:pPr>
      <w:r w:rsidRPr="003755B6">
        <w:rPr>
          <w:rFonts w:ascii="Arial" w:hAnsi="Arial" w:cs="Arial"/>
          <w:sz w:val="24"/>
          <w:szCs w:val="24"/>
        </w:rPr>
        <w:t xml:space="preserve">The table below shows </w:t>
      </w:r>
      <w:r w:rsidR="000E229E" w:rsidRPr="003755B6">
        <w:rPr>
          <w:rFonts w:ascii="Arial" w:hAnsi="Arial" w:cs="Arial"/>
          <w:sz w:val="24"/>
          <w:szCs w:val="24"/>
        </w:rPr>
        <w:t xml:space="preserve">Harrow’s population </w:t>
      </w:r>
      <w:r w:rsidRPr="003755B6">
        <w:rPr>
          <w:rFonts w:ascii="Arial" w:hAnsi="Arial" w:cs="Arial"/>
          <w:sz w:val="24"/>
          <w:szCs w:val="24"/>
        </w:rPr>
        <w:t xml:space="preserve">over the next 10 years – it shows there </w:t>
      </w:r>
      <w:r w:rsidR="000E229E" w:rsidRPr="003755B6">
        <w:rPr>
          <w:rFonts w:ascii="Arial" w:hAnsi="Arial" w:cs="Arial"/>
          <w:sz w:val="24"/>
          <w:szCs w:val="24"/>
        </w:rPr>
        <w:t xml:space="preserve">is </w:t>
      </w:r>
      <w:r w:rsidRPr="003755B6">
        <w:rPr>
          <w:rFonts w:ascii="Arial" w:hAnsi="Arial" w:cs="Arial"/>
          <w:sz w:val="24"/>
          <w:szCs w:val="24"/>
        </w:rPr>
        <w:t xml:space="preserve">a very slow and steady increase </w:t>
      </w:r>
      <w:r w:rsidR="000E229E" w:rsidRPr="003755B6">
        <w:rPr>
          <w:rFonts w:ascii="Arial" w:hAnsi="Arial" w:cs="Arial"/>
          <w:sz w:val="24"/>
          <w:szCs w:val="24"/>
        </w:rPr>
        <w:t>from 2018 to 2028.</w:t>
      </w:r>
    </w:p>
    <w:p w14:paraId="186A15BD" w14:textId="0C3E5C01" w:rsidR="005A4568" w:rsidRPr="003755B6" w:rsidRDefault="005A4568" w:rsidP="000E229E">
      <w:pPr>
        <w:spacing w:after="0" w:line="240" w:lineRule="auto"/>
        <w:rPr>
          <w:rFonts w:ascii="Arial" w:hAnsi="Arial" w:cs="Arial"/>
          <w:sz w:val="24"/>
          <w:szCs w:val="24"/>
        </w:rPr>
      </w:pPr>
    </w:p>
    <w:tbl>
      <w:tblPr>
        <w:tblW w:w="3367" w:type="dxa"/>
        <w:tblInd w:w="113" w:type="dxa"/>
        <w:tblLook w:val="04A0" w:firstRow="1" w:lastRow="0" w:firstColumn="1" w:lastColumn="0" w:noHBand="0" w:noVBand="1"/>
      </w:tblPr>
      <w:tblGrid>
        <w:gridCol w:w="884"/>
        <w:gridCol w:w="2483"/>
      </w:tblGrid>
      <w:tr w:rsidR="005A4568" w:rsidRPr="003755B6" w14:paraId="33BD6E4D" w14:textId="77777777" w:rsidTr="0002101B">
        <w:trPr>
          <w:trHeight w:val="290"/>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5983A" w14:textId="77777777" w:rsidR="005A4568" w:rsidRPr="003755B6" w:rsidRDefault="005A4568" w:rsidP="005A4568">
            <w:pPr>
              <w:spacing w:after="0" w:line="240" w:lineRule="auto"/>
              <w:rPr>
                <w:rFonts w:ascii="Arial" w:eastAsia="Times New Roman" w:hAnsi="Arial" w:cs="Arial"/>
                <w:b/>
                <w:bCs/>
                <w:color w:val="000000"/>
                <w:sz w:val="24"/>
                <w:szCs w:val="24"/>
                <w:lang w:eastAsia="en-GB"/>
              </w:rPr>
            </w:pPr>
            <w:r w:rsidRPr="003755B6">
              <w:rPr>
                <w:rFonts w:ascii="Arial" w:eastAsia="Times New Roman" w:hAnsi="Arial" w:cs="Arial"/>
                <w:b/>
                <w:bCs/>
                <w:color w:val="000000"/>
                <w:sz w:val="24"/>
                <w:szCs w:val="24"/>
                <w:lang w:eastAsia="en-GB"/>
              </w:rPr>
              <w:t>Year</w:t>
            </w:r>
          </w:p>
        </w:tc>
        <w:tc>
          <w:tcPr>
            <w:tcW w:w="2483" w:type="dxa"/>
            <w:tcBorders>
              <w:top w:val="single" w:sz="4" w:space="0" w:color="auto"/>
              <w:left w:val="nil"/>
              <w:bottom w:val="single" w:sz="4" w:space="0" w:color="auto"/>
              <w:right w:val="single" w:sz="4" w:space="0" w:color="auto"/>
            </w:tcBorders>
            <w:shd w:val="clear" w:color="auto" w:fill="auto"/>
            <w:noWrap/>
            <w:vAlign w:val="bottom"/>
            <w:hideMark/>
          </w:tcPr>
          <w:p w14:paraId="075DC78F" w14:textId="77777777" w:rsidR="005A4568" w:rsidRPr="003755B6" w:rsidRDefault="005A4568" w:rsidP="005A4568">
            <w:pPr>
              <w:spacing w:after="0" w:line="240" w:lineRule="auto"/>
              <w:jc w:val="center"/>
              <w:rPr>
                <w:rFonts w:ascii="Arial" w:eastAsia="Times New Roman" w:hAnsi="Arial" w:cs="Arial"/>
                <w:b/>
                <w:bCs/>
                <w:color w:val="000000"/>
                <w:sz w:val="24"/>
                <w:szCs w:val="24"/>
                <w:lang w:eastAsia="en-GB"/>
              </w:rPr>
            </w:pPr>
            <w:r w:rsidRPr="003755B6">
              <w:rPr>
                <w:rFonts w:ascii="Arial" w:eastAsia="Times New Roman" w:hAnsi="Arial" w:cs="Arial"/>
                <w:b/>
                <w:bCs/>
                <w:color w:val="000000"/>
                <w:sz w:val="24"/>
                <w:szCs w:val="24"/>
                <w:lang w:eastAsia="en-GB"/>
              </w:rPr>
              <w:t>Harrow Population</w:t>
            </w:r>
          </w:p>
        </w:tc>
      </w:tr>
      <w:tr w:rsidR="005A4568" w:rsidRPr="003755B6" w14:paraId="21E056CD" w14:textId="77777777" w:rsidTr="0002101B">
        <w:trPr>
          <w:trHeight w:val="29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053D400A" w14:textId="77777777" w:rsidR="005A4568" w:rsidRPr="003755B6" w:rsidRDefault="005A4568" w:rsidP="005A4568">
            <w:pPr>
              <w:spacing w:after="0" w:line="240" w:lineRule="auto"/>
              <w:rPr>
                <w:rFonts w:ascii="Arial" w:eastAsia="Times New Roman" w:hAnsi="Arial" w:cs="Arial"/>
                <w:b/>
                <w:bCs/>
                <w:color w:val="000000"/>
                <w:sz w:val="24"/>
                <w:szCs w:val="24"/>
                <w:lang w:eastAsia="en-GB"/>
              </w:rPr>
            </w:pPr>
            <w:r w:rsidRPr="003755B6">
              <w:rPr>
                <w:rFonts w:ascii="Arial" w:eastAsia="Times New Roman" w:hAnsi="Arial" w:cs="Arial"/>
                <w:b/>
                <w:bCs/>
                <w:color w:val="000000"/>
                <w:sz w:val="24"/>
                <w:szCs w:val="24"/>
                <w:lang w:eastAsia="en-GB"/>
              </w:rPr>
              <w:t>2018</w:t>
            </w:r>
          </w:p>
        </w:tc>
        <w:tc>
          <w:tcPr>
            <w:tcW w:w="2483" w:type="dxa"/>
            <w:tcBorders>
              <w:top w:val="nil"/>
              <w:left w:val="nil"/>
              <w:bottom w:val="single" w:sz="4" w:space="0" w:color="auto"/>
              <w:right w:val="single" w:sz="4" w:space="0" w:color="auto"/>
            </w:tcBorders>
            <w:shd w:val="clear" w:color="auto" w:fill="auto"/>
            <w:vAlign w:val="bottom"/>
            <w:hideMark/>
          </w:tcPr>
          <w:p w14:paraId="19CE7EBA" w14:textId="77777777" w:rsidR="005A4568" w:rsidRPr="003755B6" w:rsidRDefault="005A4568" w:rsidP="005A4568">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250,149</w:t>
            </w:r>
          </w:p>
        </w:tc>
      </w:tr>
      <w:tr w:rsidR="005A4568" w:rsidRPr="003755B6" w14:paraId="5712F2C0" w14:textId="77777777" w:rsidTr="0002101B">
        <w:trPr>
          <w:trHeight w:val="29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366EB6E9" w14:textId="77777777" w:rsidR="005A4568" w:rsidRPr="003755B6" w:rsidRDefault="005A4568" w:rsidP="005A4568">
            <w:pPr>
              <w:spacing w:after="0" w:line="240" w:lineRule="auto"/>
              <w:rPr>
                <w:rFonts w:ascii="Arial" w:eastAsia="Times New Roman" w:hAnsi="Arial" w:cs="Arial"/>
                <w:b/>
                <w:bCs/>
                <w:color w:val="000000"/>
                <w:sz w:val="24"/>
                <w:szCs w:val="24"/>
                <w:lang w:eastAsia="en-GB"/>
              </w:rPr>
            </w:pPr>
            <w:r w:rsidRPr="003755B6">
              <w:rPr>
                <w:rFonts w:ascii="Arial" w:eastAsia="Times New Roman" w:hAnsi="Arial" w:cs="Arial"/>
                <w:b/>
                <w:bCs/>
                <w:color w:val="000000"/>
                <w:sz w:val="24"/>
                <w:szCs w:val="24"/>
                <w:lang w:eastAsia="en-GB"/>
              </w:rPr>
              <w:t>2019</w:t>
            </w:r>
          </w:p>
        </w:tc>
        <w:tc>
          <w:tcPr>
            <w:tcW w:w="2483" w:type="dxa"/>
            <w:tcBorders>
              <w:top w:val="nil"/>
              <w:left w:val="nil"/>
              <w:bottom w:val="single" w:sz="4" w:space="0" w:color="auto"/>
              <w:right w:val="single" w:sz="4" w:space="0" w:color="auto"/>
            </w:tcBorders>
            <w:shd w:val="clear" w:color="auto" w:fill="auto"/>
            <w:vAlign w:val="bottom"/>
            <w:hideMark/>
          </w:tcPr>
          <w:p w14:paraId="506BEA93" w14:textId="77777777" w:rsidR="005A4568" w:rsidRPr="003755B6" w:rsidRDefault="005A4568" w:rsidP="005A4568">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250,419</w:t>
            </w:r>
          </w:p>
        </w:tc>
      </w:tr>
      <w:tr w:rsidR="005A4568" w:rsidRPr="003755B6" w14:paraId="29E2F5C9" w14:textId="77777777" w:rsidTr="0002101B">
        <w:trPr>
          <w:trHeight w:val="29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0CF7986E" w14:textId="77777777" w:rsidR="005A4568" w:rsidRPr="003755B6" w:rsidRDefault="005A4568" w:rsidP="005A4568">
            <w:pPr>
              <w:spacing w:after="0" w:line="240" w:lineRule="auto"/>
              <w:rPr>
                <w:rFonts w:ascii="Arial" w:eastAsia="Times New Roman" w:hAnsi="Arial" w:cs="Arial"/>
                <w:b/>
                <w:bCs/>
                <w:color w:val="000000"/>
                <w:sz w:val="24"/>
                <w:szCs w:val="24"/>
                <w:lang w:eastAsia="en-GB"/>
              </w:rPr>
            </w:pPr>
            <w:r w:rsidRPr="003755B6">
              <w:rPr>
                <w:rFonts w:ascii="Arial" w:eastAsia="Times New Roman" w:hAnsi="Arial" w:cs="Arial"/>
                <w:b/>
                <w:bCs/>
                <w:color w:val="000000"/>
                <w:sz w:val="24"/>
                <w:szCs w:val="24"/>
                <w:lang w:eastAsia="en-GB"/>
              </w:rPr>
              <w:t>2020</w:t>
            </w:r>
          </w:p>
        </w:tc>
        <w:tc>
          <w:tcPr>
            <w:tcW w:w="2483" w:type="dxa"/>
            <w:tcBorders>
              <w:top w:val="nil"/>
              <w:left w:val="nil"/>
              <w:bottom w:val="single" w:sz="4" w:space="0" w:color="auto"/>
              <w:right w:val="single" w:sz="4" w:space="0" w:color="auto"/>
            </w:tcBorders>
            <w:shd w:val="clear" w:color="auto" w:fill="auto"/>
            <w:vAlign w:val="bottom"/>
            <w:hideMark/>
          </w:tcPr>
          <w:p w14:paraId="119F5DED" w14:textId="77777777" w:rsidR="005A4568" w:rsidRPr="003755B6" w:rsidRDefault="005A4568" w:rsidP="005A4568">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250,751</w:t>
            </w:r>
          </w:p>
        </w:tc>
      </w:tr>
      <w:tr w:rsidR="005A4568" w:rsidRPr="003755B6" w14:paraId="024AF948" w14:textId="77777777" w:rsidTr="0002101B">
        <w:trPr>
          <w:trHeight w:val="29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02FBEBB3" w14:textId="77777777" w:rsidR="005A4568" w:rsidRPr="003755B6" w:rsidRDefault="005A4568" w:rsidP="005A4568">
            <w:pPr>
              <w:spacing w:after="0" w:line="240" w:lineRule="auto"/>
              <w:rPr>
                <w:rFonts w:ascii="Arial" w:eastAsia="Times New Roman" w:hAnsi="Arial" w:cs="Arial"/>
                <w:b/>
                <w:bCs/>
                <w:color w:val="000000"/>
                <w:sz w:val="24"/>
                <w:szCs w:val="24"/>
                <w:lang w:eastAsia="en-GB"/>
              </w:rPr>
            </w:pPr>
            <w:r w:rsidRPr="003755B6">
              <w:rPr>
                <w:rFonts w:ascii="Arial" w:eastAsia="Times New Roman" w:hAnsi="Arial" w:cs="Arial"/>
                <w:b/>
                <w:bCs/>
                <w:color w:val="000000"/>
                <w:sz w:val="24"/>
                <w:szCs w:val="24"/>
                <w:lang w:eastAsia="en-GB"/>
              </w:rPr>
              <w:t>2021</w:t>
            </w:r>
          </w:p>
        </w:tc>
        <w:tc>
          <w:tcPr>
            <w:tcW w:w="2483" w:type="dxa"/>
            <w:tcBorders>
              <w:top w:val="nil"/>
              <w:left w:val="nil"/>
              <w:bottom w:val="single" w:sz="4" w:space="0" w:color="auto"/>
              <w:right w:val="single" w:sz="4" w:space="0" w:color="auto"/>
            </w:tcBorders>
            <w:shd w:val="clear" w:color="auto" w:fill="auto"/>
            <w:vAlign w:val="bottom"/>
            <w:hideMark/>
          </w:tcPr>
          <w:p w14:paraId="158DF70A" w14:textId="77777777" w:rsidR="005A4568" w:rsidRPr="003755B6" w:rsidRDefault="005A4568" w:rsidP="005A4568">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251,095</w:t>
            </w:r>
          </w:p>
        </w:tc>
      </w:tr>
      <w:tr w:rsidR="005A4568" w:rsidRPr="003755B6" w14:paraId="269983CC" w14:textId="77777777" w:rsidTr="0002101B">
        <w:trPr>
          <w:trHeight w:val="29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1149DD95" w14:textId="77777777" w:rsidR="005A4568" w:rsidRPr="003755B6" w:rsidRDefault="005A4568" w:rsidP="005A4568">
            <w:pPr>
              <w:spacing w:after="0" w:line="240" w:lineRule="auto"/>
              <w:rPr>
                <w:rFonts w:ascii="Arial" w:eastAsia="Times New Roman" w:hAnsi="Arial" w:cs="Arial"/>
                <w:b/>
                <w:bCs/>
                <w:color w:val="000000"/>
                <w:sz w:val="24"/>
                <w:szCs w:val="24"/>
                <w:lang w:eastAsia="en-GB"/>
              </w:rPr>
            </w:pPr>
            <w:r w:rsidRPr="003755B6">
              <w:rPr>
                <w:rFonts w:ascii="Arial" w:eastAsia="Times New Roman" w:hAnsi="Arial" w:cs="Arial"/>
                <w:b/>
                <w:bCs/>
                <w:color w:val="000000"/>
                <w:sz w:val="24"/>
                <w:szCs w:val="24"/>
                <w:lang w:eastAsia="en-GB"/>
              </w:rPr>
              <w:t>2022</w:t>
            </w:r>
          </w:p>
        </w:tc>
        <w:tc>
          <w:tcPr>
            <w:tcW w:w="2483" w:type="dxa"/>
            <w:tcBorders>
              <w:top w:val="nil"/>
              <w:left w:val="nil"/>
              <w:bottom w:val="single" w:sz="4" w:space="0" w:color="auto"/>
              <w:right w:val="single" w:sz="4" w:space="0" w:color="auto"/>
            </w:tcBorders>
            <w:shd w:val="clear" w:color="auto" w:fill="auto"/>
            <w:vAlign w:val="bottom"/>
            <w:hideMark/>
          </w:tcPr>
          <w:p w14:paraId="59C646DD" w14:textId="77777777" w:rsidR="005A4568" w:rsidRPr="003755B6" w:rsidRDefault="005A4568" w:rsidP="005A4568">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251,350</w:t>
            </w:r>
          </w:p>
        </w:tc>
      </w:tr>
      <w:tr w:rsidR="005A4568" w:rsidRPr="003755B6" w14:paraId="35614A86" w14:textId="77777777" w:rsidTr="0002101B">
        <w:trPr>
          <w:trHeight w:val="29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6A61F815" w14:textId="77777777" w:rsidR="005A4568" w:rsidRPr="003755B6" w:rsidRDefault="005A4568" w:rsidP="005A4568">
            <w:pPr>
              <w:spacing w:after="0" w:line="240" w:lineRule="auto"/>
              <w:rPr>
                <w:rFonts w:ascii="Arial" w:eastAsia="Times New Roman" w:hAnsi="Arial" w:cs="Arial"/>
                <w:b/>
                <w:bCs/>
                <w:color w:val="000000"/>
                <w:sz w:val="24"/>
                <w:szCs w:val="24"/>
                <w:lang w:eastAsia="en-GB"/>
              </w:rPr>
            </w:pPr>
            <w:r w:rsidRPr="003755B6">
              <w:rPr>
                <w:rFonts w:ascii="Arial" w:eastAsia="Times New Roman" w:hAnsi="Arial" w:cs="Arial"/>
                <w:b/>
                <w:bCs/>
                <w:color w:val="000000"/>
                <w:sz w:val="24"/>
                <w:szCs w:val="24"/>
                <w:lang w:eastAsia="en-GB"/>
              </w:rPr>
              <w:t>2023</w:t>
            </w:r>
          </w:p>
        </w:tc>
        <w:tc>
          <w:tcPr>
            <w:tcW w:w="2483" w:type="dxa"/>
            <w:tcBorders>
              <w:top w:val="nil"/>
              <w:left w:val="nil"/>
              <w:bottom w:val="single" w:sz="4" w:space="0" w:color="auto"/>
              <w:right w:val="single" w:sz="4" w:space="0" w:color="auto"/>
            </w:tcBorders>
            <w:shd w:val="clear" w:color="auto" w:fill="auto"/>
            <w:vAlign w:val="bottom"/>
            <w:hideMark/>
          </w:tcPr>
          <w:p w14:paraId="4B7728B3" w14:textId="77777777" w:rsidR="005A4568" w:rsidRPr="003755B6" w:rsidRDefault="005A4568" w:rsidP="005A4568">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251,462</w:t>
            </w:r>
          </w:p>
        </w:tc>
      </w:tr>
      <w:tr w:rsidR="005A4568" w:rsidRPr="003755B6" w14:paraId="06813EB0" w14:textId="77777777" w:rsidTr="0002101B">
        <w:trPr>
          <w:trHeight w:val="29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7074B4F1" w14:textId="77777777" w:rsidR="005A4568" w:rsidRPr="003755B6" w:rsidRDefault="005A4568" w:rsidP="005A4568">
            <w:pPr>
              <w:spacing w:after="0" w:line="240" w:lineRule="auto"/>
              <w:rPr>
                <w:rFonts w:ascii="Arial" w:eastAsia="Times New Roman" w:hAnsi="Arial" w:cs="Arial"/>
                <w:b/>
                <w:bCs/>
                <w:color w:val="000000"/>
                <w:sz w:val="24"/>
                <w:szCs w:val="24"/>
                <w:lang w:eastAsia="en-GB"/>
              </w:rPr>
            </w:pPr>
            <w:r w:rsidRPr="003755B6">
              <w:rPr>
                <w:rFonts w:ascii="Arial" w:eastAsia="Times New Roman" w:hAnsi="Arial" w:cs="Arial"/>
                <w:b/>
                <w:bCs/>
                <w:color w:val="000000"/>
                <w:sz w:val="24"/>
                <w:szCs w:val="24"/>
                <w:lang w:eastAsia="en-GB"/>
              </w:rPr>
              <w:t>2024</w:t>
            </w:r>
          </w:p>
        </w:tc>
        <w:tc>
          <w:tcPr>
            <w:tcW w:w="2483" w:type="dxa"/>
            <w:tcBorders>
              <w:top w:val="nil"/>
              <w:left w:val="nil"/>
              <w:bottom w:val="single" w:sz="4" w:space="0" w:color="auto"/>
              <w:right w:val="single" w:sz="4" w:space="0" w:color="auto"/>
            </w:tcBorders>
            <w:shd w:val="clear" w:color="auto" w:fill="auto"/>
            <w:vAlign w:val="bottom"/>
            <w:hideMark/>
          </w:tcPr>
          <w:p w14:paraId="484E7F94" w14:textId="77777777" w:rsidR="005A4568" w:rsidRPr="003755B6" w:rsidRDefault="005A4568" w:rsidP="005A4568">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251,467</w:t>
            </w:r>
          </w:p>
        </w:tc>
      </w:tr>
      <w:tr w:rsidR="005A4568" w:rsidRPr="003755B6" w14:paraId="35A11EF8" w14:textId="77777777" w:rsidTr="0002101B">
        <w:trPr>
          <w:trHeight w:val="29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274EAB53" w14:textId="77777777" w:rsidR="005A4568" w:rsidRPr="003755B6" w:rsidRDefault="005A4568" w:rsidP="005A4568">
            <w:pPr>
              <w:spacing w:after="0" w:line="240" w:lineRule="auto"/>
              <w:rPr>
                <w:rFonts w:ascii="Arial" w:eastAsia="Times New Roman" w:hAnsi="Arial" w:cs="Arial"/>
                <w:b/>
                <w:bCs/>
                <w:color w:val="000000"/>
                <w:sz w:val="24"/>
                <w:szCs w:val="24"/>
                <w:lang w:eastAsia="en-GB"/>
              </w:rPr>
            </w:pPr>
            <w:r w:rsidRPr="003755B6">
              <w:rPr>
                <w:rFonts w:ascii="Arial" w:eastAsia="Times New Roman" w:hAnsi="Arial" w:cs="Arial"/>
                <w:b/>
                <w:bCs/>
                <w:color w:val="000000"/>
                <w:sz w:val="24"/>
                <w:szCs w:val="24"/>
                <w:lang w:eastAsia="en-GB"/>
              </w:rPr>
              <w:t>2025</w:t>
            </w:r>
          </w:p>
        </w:tc>
        <w:tc>
          <w:tcPr>
            <w:tcW w:w="2483" w:type="dxa"/>
            <w:tcBorders>
              <w:top w:val="nil"/>
              <w:left w:val="nil"/>
              <w:bottom w:val="single" w:sz="4" w:space="0" w:color="auto"/>
              <w:right w:val="single" w:sz="4" w:space="0" w:color="auto"/>
            </w:tcBorders>
            <w:shd w:val="clear" w:color="auto" w:fill="auto"/>
            <w:vAlign w:val="bottom"/>
            <w:hideMark/>
          </w:tcPr>
          <w:p w14:paraId="100F4A46" w14:textId="77777777" w:rsidR="005A4568" w:rsidRPr="003755B6" w:rsidRDefault="005A4568" w:rsidP="005A4568">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251,389</w:t>
            </w:r>
          </w:p>
        </w:tc>
      </w:tr>
      <w:tr w:rsidR="005A4568" w:rsidRPr="003755B6" w14:paraId="414E4AC7" w14:textId="77777777" w:rsidTr="0002101B">
        <w:trPr>
          <w:trHeight w:val="29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012DEB23" w14:textId="77777777" w:rsidR="005A4568" w:rsidRPr="003755B6" w:rsidRDefault="005A4568" w:rsidP="005A4568">
            <w:pPr>
              <w:spacing w:after="0" w:line="240" w:lineRule="auto"/>
              <w:rPr>
                <w:rFonts w:ascii="Arial" w:eastAsia="Times New Roman" w:hAnsi="Arial" w:cs="Arial"/>
                <w:b/>
                <w:bCs/>
                <w:color w:val="000000"/>
                <w:sz w:val="24"/>
                <w:szCs w:val="24"/>
                <w:lang w:eastAsia="en-GB"/>
              </w:rPr>
            </w:pPr>
            <w:r w:rsidRPr="003755B6">
              <w:rPr>
                <w:rFonts w:ascii="Arial" w:eastAsia="Times New Roman" w:hAnsi="Arial" w:cs="Arial"/>
                <w:b/>
                <w:bCs/>
                <w:color w:val="000000"/>
                <w:sz w:val="24"/>
                <w:szCs w:val="24"/>
                <w:lang w:eastAsia="en-GB"/>
              </w:rPr>
              <w:t>2026</w:t>
            </w:r>
          </w:p>
        </w:tc>
        <w:tc>
          <w:tcPr>
            <w:tcW w:w="2483" w:type="dxa"/>
            <w:tcBorders>
              <w:top w:val="nil"/>
              <w:left w:val="nil"/>
              <w:bottom w:val="single" w:sz="4" w:space="0" w:color="auto"/>
              <w:right w:val="single" w:sz="4" w:space="0" w:color="auto"/>
            </w:tcBorders>
            <w:shd w:val="clear" w:color="auto" w:fill="auto"/>
            <w:vAlign w:val="bottom"/>
            <w:hideMark/>
          </w:tcPr>
          <w:p w14:paraId="59A2456D" w14:textId="77777777" w:rsidR="005A4568" w:rsidRPr="003755B6" w:rsidRDefault="005A4568" w:rsidP="005A4568">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251,371</w:t>
            </w:r>
          </w:p>
        </w:tc>
      </w:tr>
      <w:tr w:rsidR="005A4568" w:rsidRPr="003755B6" w14:paraId="4A94830A" w14:textId="77777777" w:rsidTr="0002101B">
        <w:trPr>
          <w:trHeight w:val="29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739793F9" w14:textId="77777777" w:rsidR="005A4568" w:rsidRPr="003755B6" w:rsidRDefault="005A4568" w:rsidP="005A4568">
            <w:pPr>
              <w:spacing w:after="0" w:line="240" w:lineRule="auto"/>
              <w:rPr>
                <w:rFonts w:ascii="Arial" w:eastAsia="Times New Roman" w:hAnsi="Arial" w:cs="Arial"/>
                <w:b/>
                <w:bCs/>
                <w:color w:val="000000"/>
                <w:sz w:val="24"/>
                <w:szCs w:val="24"/>
                <w:lang w:eastAsia="en-GB"/>
              </w:rPr>
            </w:pPr>
            <w:r w:rsidRPr="003755B6">
              <w:rPr>
                <w:rFonts w:ascii="Arial" w:eastAsia="Times New Roman" w:hAnsi="Arial" w:cs="Arial"/>
                <w:b/>
                <w:bCs/>
                <w:color w:val="000000"/>
                <w:sz w:val="24"/>
                <w:szCs w:val="24"/>
                <w:lang w:eastAsia="en-GB"/>
              </w:rPr>
              <w:t>2027</w:t>
            </w:r>
          </w:p>
        </w:tc>
        <w:tc>
          <w:tcPr>
            <w:tcW w:w="2483" w:type="dxa"/>
            <w:tcBorders>
              <w:top w:val="nil"/>
              <w:left w:val="nil"/>
              <w:bottom w:val="single" w:sz="4" w:space="0" w:color="auto"/>
              <w:right w:val="single" w:sz="4" w:space="0" w:color="auto"/>
            </w:tcBorders>
            <w:shd w:val="clear" w:color="auto" w:fill="auto"/>
            <w:vAlign w:val="bottom"/>
            <w:hideMark/>
          </w:tcPr>
          <w:p w14:paraId="1914B5F0" w14:textId="77777777" w:rsidR="005A4568" w:rsidRPr="003755B6" w:rsidRDefault="005A4568" w:rsidP="005A4568">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251,313</w:t>
            </w:r>
          </w:p>
        </w:tc>
      </w:tr>
      <w:tr w:rsidR="005A4568" w:rsidRPr="003755B6" w14:paraId="794FE52E" w14:textId="77777777" w:rsidTr="0002101B">
        <w:trPr>
          <w:trHeight w:val="29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3E740215" w14:textId="77777777" w:rsidR="005A4568" w:rsidRPr="003755B6" w:rsidRDefault="005A4568" w:rsidP="005A4568">
            <w:pPr>
              <w:spacing w:after="0" w:line="240" w:lineRule="auto"/>
              <w:rPr>
                <w:rFonts w:ascii="Arial" w:eastAsia="Times New Roman" w:hAnsi="Arial" w:cs="Arial"/>
                <w:b/>
                <w:bCs/>
                <w:color w:val="000000"/>
                <w:sz w:val="24"/>
                <w:szCs w:val="24"/>
                <w:lang w:eastAsia="en-GB"/>
              </w:rPr>
            </w:pPr>
            <w:r w:rsidRPr="003755B6">
              <w:rPr>
                <w:rFonts w:ascii="Arial" w:eastAsia="Times New Roman" w:hAnsi="Arial" w:cs="Arial"/>
                <w:b/>
                <w:bCs/>
                <w:color w:val="000000"/>
                <w:sz w:val="24"/>
                <w:szCs w:val="24"/>
                <w:lang w:eastAsia="en-GB"/>
              </w:rPr>
              <w:t>2028</w:t>
            </w:r>
          </w:p>
        </w:tc>
        <w:tc>
          <w:tcPr>
            <w:tcW w:w="2483" w:type="dxa"/>
            <w:tcBorders>
              <w:top w:val="nil"/>
              <w:left w:val="nil"/>
              <w:bottom w:val="single" w:sz="4" w:space="0" w:color="auto"/>
              <w:right w:val="single" w:sz="4" w:space="0" w:color="auto"/>
            </w:tcBorders>
            <w:shd w:val="clear" w:color="auto" w:fill="auto"/>
            <w:vAlign w:val="bottom"/>
            <w:hideMark/>
          </w:tcPr>
          <w:p w14:paraId="0380A53E" w14:textId="77777777" w:rsidR="005A4568" w:rsidRPr="003755B6" w:rsidRDefault="005A4568" w:rsidP="005A4568">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251,337</w:t>
            </w:r>
          </w:p>
        </w:tc>
      </w:tr>
    </w:tbl>
    <w:p w14:paraId="10B38A2B" w14:textId="75FF5307" w:rsidR="001E61CC" w:rsidRPr="003755B6" w:rsidRDefault="001E61CC" w:rsidP="00932AFF">
      <w:pPr>
        <w:spacing w:after="0" w:line="240" w:lineRule="auto"/>
        <w:rPr>
          <w:rFonts w:ascii="Arial" w:hAnsi="Arial" w:cs="Arial"/>
          <w:noProof/>
          <w:sz w:val="24"/>
          <w:szCs w:val="24"/>
          <w:lang w:eastAsia="en-GB"/>
        </w:rPr>
      </w:pPr>
    </w:p>
    <w:p w14:paraId="5F212F79" w14:textId="0955AF33" w:rsidR="00106842" w:rsidRPr="003755B6" w:rsidRDefault="00D07BB2" w:rsidP="00932AFF">
      <w:pPr>
        <w:spacing w:after="0" w:line="240" w:lineRule="auto"/>
        <w:rPr>
          <w:rFonts w:ascii="Arial" w:hAnsi="Arial" w:cs="Arial"/>
          <w:noProof/>
          <w:sz w:val="24"/>
          <w:szCs w:val="24"/>
          <w:lang w:eastAsia="en-GB"/>
        </w:rPr>
      </w:pPr>
      <w:r w:rsidRPr="003755B6">
        <w:rPr>
          <w:rFonts w:ascii="Arial" w:hAnsi="Arial" w:cs="Arial"/>
          <w:noProof/>
          <w:sz w:val="24"/>
          <w:szCs w:val="24"/>
          <w:lang w:eastAsia="en-GB"/>
        </w:rPr>
        <w:drawing>
          <wp:inline distT="0" distB="0" distL="0" distR="0" wp14:anchorId="5ED36CC6" wp14:editId="4A17AD07">
            <wp:extent cx="6638925" cy="316992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38925" cy="3169920"/>
                    </a:xfrm>
                    <a:prstGeom prst="rect">
                      <a:avLst/>
                    </a:prstGeom>
                    <a:noFill/>
                  </pic:spPr>
                </pic:pic>
              </a:graphicData>
            </a:graphic>
          </wp:inline>
        </w:drawing>
      </w:r>
    </w:p>
    <w:p w14:paraId="726A1300" w14:textId="77777777" w:rsidR="00106842" w:rsidRPr="003755B6" w:rsidRDefault="00106842" w:rsidP="00932AFF">
      <w:pPr>
        <w:spacing w:after="0" w:line="240" w:lineRule="auto"/>
        <w:rPr>
          <w:rFonts w:ascii="Arial" w:hAnsi="Arial" w:cs="Arial"/>
          <w:noProof/>
          <w:sz w:val="24"/>
          <w:szCs w:val="24"/>
          <w:lang w:eastAsia="en-GB"/>
        </w:rPr>
      </w:pPr>
    </w:p>
    <w:p w14:paraId="26B77770" w14:textId="107CDEF5" w:rsidR="001E61CC" w:rsidRPr="003755B6" w:rsidRDefault="001E61CC" w:rsidP="001E61CC">
      <w:pPr>
        <w:spacing w:after="0"/>
        <w:rPr>
          <w:rFonts w:ascii="Arial" w:hAnsi="Arial" w:cs="Arial"/>
          <w:b/>
          <w:sz w:val="24"/>
          <w:szCs w:val="24"/>
        </w:rPr>
      </w:pPr>
      <w:r w:rsidRPr="003755B6">
        <w:rPr>
          <w:rFonts w:ascii="Arial" w:hAnsi="Arial" w:cs="Arial"/>
          <w:b/>
          <w:sz w:val="24"/>
          <w:szCs w:val="24"/>
        </w:rPr>
        <w:t>Harrow’s births</w:t>
      </w:r>
    </w:p>
    <w:p w14:paraId="673A90DA" w14:textId="331AFF7A" w:rsidR="001E61CC" w:rsidRPr="003755B6" w:rsidRDefault="001E61CC" w:rsidP="001E61CC">
      <w:pPr>
        <w:spacing w:after="0" w:line="240" w:lineRule="auto"/>
        <w:rPr>
          <w:rFonts w:ascii="Arial" w:hAnsi="Arial" w:cs="Arial"/>
          <w:sz w:val="24"/>
          <w:szCs w:val="24"/>
        </w:rPr>
      </w:pPr>
      <w:r w:rsidRPr="003755B6">
        <w:rPr>
          <w:rFonts w:ascii="Arial" w:hAnsi="Arial" w:cs="Arial"/>
          <w:sz w:val="24"/>
          <w:szCs w:val="24"/>
        </w:rPr>
        <w:t>Harrow’s births are projected to fall from 3,260 in 2019 to 3,116 in 2023 and 2,970 in 2028</w:t>
      </w:r>
      <w:r w:rsidR="009E3C7A">
        <w:rPr>
          <w:rFonts w:ascii="Arial" w:hAnsi="Arial" w:cs="Arial"/>
          <w:sz w:val="24"/>
          <w:szCs w:val="24"/>
        </w:rPr>
        <w:t>.</w:t>
      </w:r>
    </w:p>
    <w:p w14:paraId="5C807894" w14:textId="479EA958" w:rsidR="00AF0F45" w:rsidRPr="003755B6" w:rsidRDefault="00AF0F45" w:rsidP="001E61CC">
      <w:pPr>
        <w:spacing w:after="0" w:line="240" w:lineRule="auto"/>
        <w:rPr>
          <w:rFonts w:ascii="Arial" w:hAnsi="Arial" w:cs="Arial"/>
          <w:sz w:val="24"/>
          <w:szCs w:val="24"/>
        </w:rPr>
      </w:pPr>
    </w:p>
    <w:tbl>
      <w:tblPr>
        <w:tblW w:w="1920" w:type="dxa"/>
        <w:tblInd w:w="113" w:type="dxa"/>
        <w:tblLook w:val="04A0" w:firstRow="1" w:lastRow="0" w:firstColumn="1" w:lastColumn="0" w:noHBand="0" w:noVBand="1"/>
      </w:tblPr>
      <w:tblGrid>
        <w:gridCol w:w="910"/>
        <w:gridCol w:w="1043"/>
      </w:tblGrid>
      <w:tr w:rsidR="00AF0F45" w:rsidRPr="003755B6" w14:paraId="2D38009A" w14:textId="77777777" w:rsidTr="00AF0F45">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4E76A3" w14:textId="77777777" w:rsidR="00AF0F45" w:rsidRPr="003755B6" w:rsidRDefault="00AF0F45" w:rsidP="00AF0F45">
            <w:pPr>
              <w:spacing w:after="0" w:line="240" w:lineRule="auto"/>
              <w:rPr>
                <w:rFonts w:ascii="Arial" w:eastAsia="Times New Roman" w:hAnsi="Arial" w:cs="Arial"/>
                <w:b/>
                <w:bCs/>
                <w:color w:val="000000"/>
                <w:sz w:val="24"/>
                <w:szCs w:val="24"/>
                <w:lang w:eastAsia="en-GB"/>
              </w:rPr>
            </w:pPr>
            <w:r w:rsidRPr="003755B6">
              <w:rPr>
                <w:rFonts w:ascii="Arial" w:eastAsia="Times New Roman" w:hAnsi="Arial" w:cs="Arial"/>
                <w:b/>
                <w:bCs/>
                <w:color w:val="000000"/>
                <w:sz w:val="24"/>
                <w:szCs w:val="24"/>
                <w:lang w:eastAsia="en-GB"/>
              </w:rPr>
              <w:t>Births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B2A34CA" w14:textId="77777777" w:rsidR="00AF0F45" w:rsidRPr="003755B6" w:rsidRDefault="00AF0F45" w:rsidP="00AF0F45">
            <w:pPr>
              <w:spacing w:after="0" w:line="240" w:lineRule="auto"/>
              <w:jc w:val="center"/>
              <w:rPr>
                <w:rFonts w:ascii="Arial" w:eastAsia="Times New Roman" w:hAnsi="Arial" w:cs="Arial"/>
                <w:b/>
                <w:bCs/>
                <w:color w:val="000000"/>
                <w:sz w:val="24"/>
                <w:szCs w:val="24"/>
                <w:lang w:eastAsia="en-GB"/>
              </w:rPr>
            </w:pPr>
            <w:r w:rsidRPr="003755B6">
              <w:rPr>
                <w:rFonts w:ascii="Arial" w:eastAsia="Times New Roman" w:hAnsi="Arial" w:cs="Arial"/>
                <w:b/>
                <w:bCs/>
                <w:color w:val="000000"/>
                <w:sz w:val="24"/>
                <w:szCs w:val="24"/>
                <w:lang w:eastAsia="en-GB"/>
              </w:rPr>
              <w:t>Harrow</w:t>
            </w:r>
          </w:p>
        </w:tc>
      </w:tr>
      <w:tr w:rsidR="00AF0F45" w:rsidRPr="003755B6" w14:paraId="5B55DC9E" w14:textId="77777777" w:rsidTr="00AF0F45">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87BD7E7" w14:textId="77777777" w:rsidR="00AF0F45" w:rsidRPr="003755B6" w:rsidRDefault="00AF0F45" w:rsidP="00AF0F45">
            <w:pPr>
              <w:spacing w:after="0" w:line="240" w:lineRule="auto"/>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2019</w:t>
            </w:r>
          </w:p>
        </w:tc>
        <w:tc>
          <w:tcPr>
            <w:tcW w:w="960" w:type="dxa"/>
            <w:tcBorders>
              <w:top w:val="nil"/>
              <w:left w:val="nil"/>
              <w:bottom w:val="single" w:sz="4" w:space="0" w:color="auto"/>
              <w:right w:val="single" w:sz="4" w:space="0" w:color="auto"/>
            </w:tcBorders>
            <w:shd w:val="clear" w:color="auto" w:fill="auto"/>
            <w:vAlign w:val="bottom"/>
            <w:hideMark/>
          </w:tcPr>
          <w:p w14:paraId="2216AF75" w14:textId="77777777" w:rsidR="00AF0F45" w:rsidRPr="003755B6" w:rsidRDefault="00AF0F45" w:rsidP="00AF0F45">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3,260</w:t>
            </w:r>
          </w:p>
        </w:tc>
      </w:tr>
      <w:tr w:rsidR="00AF0F45" w:rsidRPr="003755B6" w14:paraId="5DB06368" w14:textId="77777777" w:rsidTr="00AF0F45">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7FD6D52" w14:textId="77777777" w:rsidR="00AF0F45" w:rsidRPr="003755B6" w:rsidRDefault="00AF0F45" w:rsidP="00AF0F45">
            <w:pPr>
              <w:spacing w:after="0" w:line="240" w:lineRule="auto"/>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2020</w:t>
            </w:r>
          </w:p>
        </w:tc>
        <w:tc>
          <w:tcPr>
            <w:tcW w:w="960" w:type="dxa"/>
            <w:tcBorders>
              <w:top w:val="nil"/>
              <w:left w:val="nil"/>
              <w:bottom w:val="single" w:sz="4" w:space="0" w:color="auto"/>
              <w:right w:val="single" w:sz="4" w:space="0" w:color="auto"/>
            </w:tcBorders>
            <w:shd w:val="clear" w:color="auto" w:fill="auto"/>
            <w:vAlign w:val="bottom"/>
            <w:hideMark/>
          </w:tcPr>
          <w:p w14:paraId="2057A70D" w14:textId="77777777" w:rsidR="00AF0F45" w:rsidRPr="003755B6" w:rsidRDefault="00AF0F45" w:rsidP="00AF0F45">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3,248</w:t>
            </w:r>
          </w:p>
        </w:tc>
      </w:tr>
      <w:tr w:rsidR="00AF0F45" w:rsidRPr="003755B6" w14:paraId="5C87CADE" w14:textId="77777777" w:rsidTr="00AF0F45">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2E263C6" w14:textId="77777777" w:rsidR="00AF0F45" w:rsidRPr="003755B6" w:rsidRDefault="00AF0F45" w:rsidP="00AF0F45">
            <w:pPr>
              <w:spacing w:after="0" w:line="240" w:lineRule="auto"/>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2021</w:t>
            </w:r>
          </w:p>
        </w:tc>
        <w:tc>
          <w:tcPr>
            <w:tcW w:w="960" w:type="dxa"/>
            <w:tcBorders>
              <w:top w:val="nil"/>
              <w:left w:val="nil"/>
              <w:bottom w:val="single" w:sz="4" w:space="0" w:color="auto"/>
              <w:right w:val="single" w:sz="4" w:space="0" w:color="auto"/>
            </w:tcBorders>
            <w:shd w:val="clear" w:color="auto" w:fill="auto"/>
            <w:vAlign w:val="bottom"/>
            <w:hideMark/>
          </w:tcPr>
          <w:p w14:paraId="521A7859" w14:textId="77777777" w:rsidR="00AF0F45" w:rsidRPr="003755B6" w:rsidRDefault="00AF0F45" w:rsidP="00AF0F45">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3,214</w:t>
            </w:r>
          </w:p>
        </w:tc>
      </w:tr>
      <w:tr w:rsidR="00AF0F45" w:rsidRPr="003755B6" w14:paraId="3C35CBC2" w14:textId="77777777" w:rsidTr="00AF0F45">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07E8D00" w14:textId="77777777" w:rsidR="00AF0F45" w:rsidRPr="003755B6" w:rsidRDefault="00AF0F45" w:rsidP="00AF0F45">
            <w:pPr>
              <w:spacing w:after="0" w:line="240" w:lineRule="auto"/>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2022</w:t>
            </w:r>
          </w:p>
        </w:tc>
        <w:tc>
          <w:tcPr>
            <w:tcW w:w="960" w:type="dxa"/>
            <w:tcBorders>
              <w:top w:val="nil"/>
              <w:left w:val="nil"/>
              <w:bottom w:val="single" w:sz="4" w:space="0" w:color="auto"/>
              <w:right w:val="single" w:sz="4" w:space="0" w:color="auto"/>
            </w:tcBorders>
            <w:shd w:val="clear" w:color="auto" w:fill="auto"/>
            <w:vAlign w:val="bottom"/>
            <w:hideMark/>
          </w:tcPr>
          <w:p w14:paraId="71F4177B" w14:textId="77777777" w:rsidR="00AF0F45" w:rsidRPr="003755B6" w:rsidRDefault="00AF0F45" w:rsidP="00AF0F45">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3,167</w:t>
            </w:r>
          </w:p>
        </w:tc>
      </w:tr>
      <w:tr w:rsidR="00AF0F45" w:rsidRPr="003755B6" w14:paraId="65805A40" w14:textId="77777777" w:rsidTr="00AF0F45">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6D6B7E7" w14:textId="77777777" w:rsidR="00AF0F45" w:rsidRPr="003755B6" w:rsidRDefault="00AF0F45" w:rsidP="00AF0F45">
            <w:pPr>
              <w:spacing w:after="0" w:line="240" w:lineRule="auto"/>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2023</w:t>
            </w:r>
          </w:p>
        </w:tc>
        <w:tc>
          <w:tcPr>
            <w:tcW w:w="960" w:type="dxa"/>
            <w:tcBorders>
              <w:top w:val="nil"/>
              <w:left w:val="nil"/>
              <w:bottom w:val="single" w:sz="4" w:space="0" w:color="auto"/>
              <w:right w:val="single" w:sz="4" w:space="0" w:color="auto"/>
            </w:tcBorders>
            <w:shd w:val="clear" w:color="auto" w:fill="auto"/>
            <w:vAlign w:val="bottom"/>
            <w:hideMark/>
          </w:tcPr>
          <w:p w14:paraId="2659FE5F" w14:textId="77777777" w:rsidR="00AF0F45" w:rsidRPr="003755B6" w:rsidRDefault="00AF0F45" w:rsidP="00AF0F45">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3,116</w:t>
            </w:r>
          </w:p>
        </w:tc>
      </w:tr>
      <w:tr w:rsidR="00AF0F45" w:rsidRPr="003755B6" w14:paraId="13AA93AF" w14:textId="77777777" w:rsidTr="00AF0F45">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8133DFE" w14:textId="77777777" w:rsidR="00AF0F45" w:rsidRPr="003755B6" w:rsidRDefault="00AF0F45" w:rsidP="00AF0F45">
            <w:pPr>
              <w:spacing w:after="0" w:line="240" w:lineRule="auto"/>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2024</w:t>
            </w:r>
          </w:p>
        </w:tc>
        <w:tc>
          <w:tcPr>
            <w:tcW w:w="960" w:type="dxa"/>
            <w:tcBorders>
              <w:top w:val="nil"/>
              <w:left w:val="nil"/>
              <w:bottom w:val="single" w:sz="4" w:space="0" w:color="auto"/>
              <w:right w:val="single" w:sz="4" w:space="0" w:color="auto"/>
            </w:tcBorders>
            <w:shd w:val="clear" w:color="auto" w:fill="auto"/>
            <w:vAlign w:val="bottom"/>
            <w:hideMark/>
          </w:tcPr>
          <w:p w14:paraId="653DEC99" w14:textId="77777777" w:rsidR="00AF0F45" w:rsidRPr="003755B6" w:rsidRDefault="00AF0F45" w:rsidP="00AF0F45">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3,048</w:t>
            </w:r>
          </w:p>
        </w:tc>
      </w:tr>
      <w:tr w:rsidR="00AF0F45" w:rsidRPr="00AF0F45" w14:paraId="1CE228B6" w14:textId="77777777" w:rsidTr="00AF0F45">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1F05BD8" w14:textId="77777777" w:rsidR="00AF0F45" w:rsidRPr="003755B6" w:rsidRDefault="00AF0F45" w:rsidP="00AF0F45">
            <w:pPr>
              <w:spacing w:after="0" w:line="240" w:lineRule="auto"/>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2025</w:t>
            </w:r>
          </w:p>
        </w:tc>
        <w:tc>
          <w:tcPr>
            <w:tcW w:w="960" w:type="dxa"/>
            <w:tcBorders>
              <w:top w:val="nil"/>
              <w:left w:val="nil"/>
              <w:bottom w:val="single" w:sz="4" w:space="0" w:color="auto"/>
              <w:right w:val="single" w:sz="4" w:space="0" w:color="auto"/>
            </w:tcBorders>
            <w:shd w:val="clear" w:color="auto" w:fill="auto"/>
            <w:vAlign w:val="bottom"/>
            <w:hideMark/>
          </w:tcPr>
          <w:p w14:paraId="4D003AF2" w14:textId="77777777" w:rsidR="00AF0F45" w:rsidRPr="00AF0F45" w:rsidRDefault="00AF0F45" w:rsidP="00AF0F45">
            <w:pPr>
              <w:spacing w:after="0" w:line="240" w:lineRule="auto"/>
              <w:jc w:val="center"/>
              <w:rPr>
                <w:rFonts w:ascii="Arial" w:eastAsia="Times New Roman" w:hAnsi="Arial" w:cs="Arial"/>
                <w:color w:val="000000"/>
                <w:sz w:val="24"/>
                <w:szCs w:val="24"/>
                <w:lang w:eastAsia="en-GB"/>
              </w:rPr>
            </w:pPr>
            <w:r w:rsidRPr="003755B6">
              <w:rPr>
                <w:rFonts w:ascii="Arial" w:eastAsia="Times New Roman" w:hAnsi="Arial" w:cs="Arial"/>
                <w:color w:val="000000"/>
                <w:sz w:val="24"/>
                <w:szCs w:val="24"/>
                <w:lang w:eastAsia="en-GB"/>
              </w:rPr>
              <w:t>3,029</w:t>
            </w:r>
          </w:p>
        </w:tc>
      </w:tr>
      <w:tr w:rsidR="00AF0F45" w:rsidRPr="00AF0F45" w14:paraId="4DF47F4F" w14:textId="77777777" w:rsidTr="00AF0F45">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B409CF1" w14:textId="77777777" w:rsidR="00AF0F45" w:rsidRPr="00AF0F45" w:rsidRDefault="00AF0F45" w:rsidP="00AF0F45">
            <w:pPr>
              <w:spacing w:after="0" w:line="240" w:lineRule="auto"/>
              <w:rPr>
                <w:rFonts w:ascii="Arial" w:eastAsia="Times New Roman" w:hAnsi="Arial" w:cs="Arial"/>
                <w:color w:val="000000"/>
                <w:sz w:val="24"/>
                <w:szCs w:val="24"/>
                <w:lang w:eastAsia="en-GB"/>
              </w:rPr>
            </w:pPr>
            <w:r w:rsidRPr="00AF0F45">
              <w:rPr>
                <w:rFonts w:ascii="Arial" w:eastAsia="Times New Roman" w:hAnsi="Arial" w:cs="Arial"/>
                <w:color w:val="000000"/>
                <w:sz w:val="24"/>
                <w:szCs w:val="24"/>
                <w:lang w:eastAsia="en-GB"/>
              </w:rPr>
              <w:t>2026</w:t>
            </w:r>
          </w:p>
        </w:tc>
        <w:tc>
          <w:tcPr>
            <w:tcW w:w="960" w:type="dxa"/>
            <w:tcBorders>
              <w:top w:val="nil"/>
              <w:left w:val="nil"/>
              <w:bottom w:val="single" w:sz="4" w:space="0" w:color="auto"/>
              <w:right w:val="single" w:sz="4" w:space="0" w:color="auto"/>
            </w:tcBorders>
            <w:shd w:val="clear" w:color="auto" w:fill="auto"/>
            <w:vAlign w:val="bottom"/>
            <w:hideMark/>
          </w:tcPr>
          <w:p w14:paraId="68D1A6AF" w14:textId="77777777" w:rsidR="00AF0F45" w:rsidRPr="00AF0F45" w:rsidRDefault="00AF0F45" w:rsidP="00AF0F45">
            <w:pPr>
              <w:spacing w:after="0" w:line="240" w:lineRule="auto"/>
              <w:jc w:val="center"/>
              <w:rPr>
                <w:rFonts w:ascii="Arial" w:eastAsia="Times New Roman" w:hAnsi="Arial" w:cs="Arial"/>
                <w:color w:val="000000"/>
                <w:sz w:val="24"/>
                <w:szCs w:val="24"/>
                <w:lang w:eastAsia="en-GB"/>
              </w:rPr>
            </w:pPr>
            <w:r w:rsidRPr="00AF0F45">
              <w:rPr>
                <w:rFonts w:ascii="Arial" w:eastAsia="Times New Roman" w:hAnsi="Arial" w:cs="Arial"/>
                <w:color w:val="000000"/>
                <w:sz w:val="24"/>
                <w:szCs w:val="24"/>
                <w:lang w:eastAsia="en-GB"/>
              </w:rPr>
              <w:t>3,009</w:t>
            </w:r>
          </w:p>
        </w:tc>
      </w:tr>
      <w:tr w:rsidR="00AF0F45" w:rsidRPr="00AF0F45" w14:paraId="2E5CF393" w14:textId="77777777" w:rsidTr="00AF0F45">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7C4DD94" w14:textId="77777777" w:rsidR="00AF0F45" w:rsidRPr="00AF0F45" w:rsidRDefault="00AF0F45" w:rsidP="00AF0F45">
            <w:pPr>
              <w:spacing w:after="0" w:line="240" w:lineRule="auto"/>
              <w:rPr>
                <w:rFonts w:ascii="Arial" w:eastAsia="Times New Roman" w:hAnsi="Arial" w:cs="Arial"/>
                <w:color w:val="000000"/>
                <w:sz w:val="24"/>
                <w:szCs w:val="24"/>
                <w:lang w:eastAsia="en-GB"/>
              </w:rPr>
            </w:pPr>
            <w:r w:rsidRPr="00AF0F45">
              <w:rPr>
                <w:rFonts w:ascii="Arial" w:eastAsia="Times New Roman" w:hAnsi="Arial" w:cs="Arial"/>
                <w:color w:val="000000"/>
                <w:sz w:val="24"/>
                <w:szCs w:val="24"/>
                <w:lang w:eastAsia="en-GB"/>
              </w:rPr>
              <w:t>2027</w:t>
            </w:r>
          </w:p>
        </w:tc>
        <w:tc>
          <w:tcPr>
            <w:tcW w:w="960" w:type="dxa"/>
            <w:tcBorders>
              <w:top w:val="nil"/>
              <w:left w:val="nil"/>
              <w:bottom w:val="single" w:sz="4" w:space="0" w:color="auto"/>
              <w:right w:val="single" w:sz="4" w:space="0" w:color="auto"/>
            </w:tcBorders>
            <w:shd w:val="clear" w:color="auto" w:fill="auto"/>
            <w:vAlign w:val="bottom"/>
            <w:hideMark/>
          </w:tcPr>
          <w:p w14:paraId="1675557A" w14:textId="77777777" w:rsidR="00AF0F45" w:rsidRPr="00AF0F45" w:rsidRDefault="00AF0F45" w:rsidP="00AF0F45">
            <w:pPr>
              <w:spacing w:after="0" w:line="240" w:lineRule="auto"/>
              <w:jc w:val="center"/>
              <w:rPr>
                <w:rFonts w:ascii="Arial" w:eastAsia="Times New Roman" w:hAnsi="Arial" w:cs="Arial"/>
                <w:color w:val="000000"/>
                <w:sz w:val="24"/>
                <w:szCs w:val="24"/>
                <w:lang w:eastAsia="en-GB"/>
              </w:rPr>
            </w:pPr>
            <w:r w:rsidRPr="00AF0F45">
              <w:rPr>
                <w:rFonts w:ascii="Arial" w:eastAsia="Times New Roman" w:hAnsi="Arial" w:cs="Arial"/>
                <w:color w:val="000000"/>
                <w:sz w:val="24"/>
                <w:szCs w:val="24"/>
                <w:lang w:eastAsia="en-GB"/>
              </w:rPr>
              <w:t>2,988</w:t>
            </w:r>
          </w:p>
        </w:tc>
      </w:tr>
      <w:tr w:rsidR="00AF0F45" w:rsidRPr="00AF0F45" w14:paraId="4140293A" w14:textId="77777777" w:rsidTr="00AF0F45">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EF92877" w14:textId="77777777" w:rsidR="00AF0F45" w:rsidRPr="00AF0F45" w:rsidRDefault="00AF0F45" w:rsidP="00AF0F45">
            <w:pPr>
              <w:spacing w:after="0" w:line="240" w:lineRule="auto"/>
              <w:rPr>
                <w:rFonts w:ascii="Arial" w:eastAsia="Times New Roman" w:hAnsi="Arial" w:cs="Arial"/>
                <w:color w:val="000000"/>
                <w:sz w:val="24"/>
                <w:szCs w:val="24"/>
                <w:lang w:eastAsia="en-GB"/>
              </w:rPr>
            </w:pPr>
            <w:r w:rsidRPr="00AF0F45">
              <w:rPr>
                <w:rFonts w:ascii="Arial" w:eastAsia="Times New Roman" w:hAnsi="Arial" w:cs="Arial"/>
                <w:color w:val="000000"/>
                <w:sz w:val="24"/>
                <w:szCs w:val="24"/>
                <w:lang w:eastAsia="en-GB"/>
              </w:rPr>
              <w:t>2028</w:t>
            </w:r>
          </w:p>
        </w:tc>
        <w:tc>
          <w:tcPr>
            <w:tcW w:w="960" w:type="dxa"/>
            <w:tcBorders>
              <w:top w:val="nil"/>
              <w:left w:val="nil"/>
              <w:bottom w:val="single" w:sz="4" w:space="0" w:color="auto"/>
              <w:right w:val="single" w:sz="4" w:space="0" w:color="auto"/>
            </w:tcBorders>
            <w:shd w:val="clear" w:color="auto" w:fill="auto"/>
            <w:vAlign w:val="bottom"/>
            <w:hideMark/>
          </w:tcPr>
          <w:p w14:paraId="779243CE" w14:textId="77777777" w:rsidR="00AF0F45" w:rsidRPr="00AF0F45" w:rsidRDefault="00AF0F45" w:rsidP="00AF0F45">
            <w:pPr>
              <w:spacing w:after="0" w:line="240" w:lineRule="auto"/>
              <w:jc w:val="center"/>
              <w:rPr>
                <w:rFonts w:ascii="Arial" w:eastAsia="Times New Roman" w:hAnsi="Arial" w:cs="Arial"/>
                <w:color w:val="000000"/>
                <w:sz w:val="24"/>
                <w:szCs w:val="24"/>
                <w:lang w:eastAsia="en-GB"/>
              </w:rPr>
            </w:pPr>
            <w:r w:rsidRPr="00AF0F45">
              <w:rPr>
                <w:rFonts w:ascii="Arial" w:eastAsia="Times New Roman" w:hAnsi="Arial" w:cs="Arial"/>
                <w:color w:val="000000"/>
                <w:sz w:val="24"/>
                <w:szCs w:val="24"/>
                <w:lang w:eastAsia="en-GB"/>
              </w:rPr>
              <w:t>2,970</w:t>
            </w:r>
          </w:p>
        </w:tc>
      </w:tr>
    </w:tbl>
    <w:p w14:paraId="767E4B1D" w14:textId="556ABC44" w:rsidR="0089598C" w:rsidRDefault="0089598C" w:rsidP="00932AFF">
      <w:pPr>
        <w:spacing w:after="0" w:line="240" w:lineRule="auto"/>
        <w:rPr>
          <w:rFonts w:ascii="Arial" w:hAnsi="Arial" w:cs="Arial"/>
          <w:b/>
          <w:bCs/>
          <w:noProof/>
          <w:sz w:val="24"/>
          <w:szCs w:val="24"/>
          <w:lang w:eastAsia="en-GB"/>
        </w:rPr>
      </w:pPr>
    </w:p>
    <w:p w14:paraId="7AC56573" w14:textId="70DAF6FC" w:rsidR="007E0F94" w:rsidRDefault="00D07BB2" w:rsidP="00932AFF">
      <w:pPr>
        <w:spacing w:after="0" w:line="240" w:lineRule="auto"/>
        <w:rPr>
          <w:rFonts w:ascii="Arial" w:hAnsi="Arial" w:cs="Arial"/>
          <w:b/>
          <w:bCs/>
          <w:noProof/>
          <w:sz w:val="24"/>
          <w:szCs w:val="24"/>
          <w:lang w:eastAsia="en-GB"/>
        </w:rPr>
      </w:pPr>
      <w:r>
        <w:rPr>
          <w:rFonts w:ascii="Arial" w:hAnsi="Arial" w:cs="Arial"/>
          <w:b/>
          <w:bCs/>
          <w:noProof/>
          <w:sz w:val="24"/>
          <w:szCs w:val="24"/>
          <w:lang w:eastAsia="en-GB"/>
        </w:rPr>
        <w:lastRenderedPageBreak/>
        <w:drawing>
          <wp:inline distT="0" distB="0" distL="0" distR="0" wp14:anchorId="251E5671" wp14:editId="7865B4EE">
            <wp:extent cx="6577965" cy="304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7965" cy="3048000"/>
                    </a:xfrm>
                    <a:prstGeom prst="rect">
                      <a:avLst/>
                    </a:prstGeom>
                    <a:noFill/>
                  </pic:spPr>
                </pic:pic>
              </a:graphicData>
            </a:graphic>
          </wp:inline>
        </w:drawing>
      </w:r>
    </w:p>
    <w:p w14:paraId="6D1B6F53" w14:textId="77777777" w:rsidR="007E0F94" w:rsidRDefault="007E0F94" w:rsidP="00932AFF">
      <w:pPr>
        <w:spacing w:after="0" w:line="240" w:lineRule="auto"/>
        <w:rPr>
          <w:rFonts w:ascii="Arial" w:hAnsi="Arial" w:cs="Arial"/>
          <w:b/>
          <w:bCs/>
          <w:noProof/>
          <w:sz w:val="24"/>
          <w:szCs w:val="24"/>
          <w:lang w:eastAsia="en-GB"/>
        </w:rPr>
      </w:pPr>
    </w:p>
    <w:p w14:paraId="1EC1324E" w14:textId="77777777" w:rsidR="005A042B" w:rsidRDefault="005A042B" w:rsidP="00932AFF">
      <w:pPr>
        <w:spacing w:after="0" w:line="240" w:lineRule="auto"/>
        <w:rPr>
          <w:rFonts w:ascii="Arial" w:hAnsi="Arial" w:cs="Arial"/>
          <w:b/>
          <w:bCs/>
          <w:noProof/>
          <w:sz w:val="24"/>
          <w:szCs w:val="24"/>
          <w:lang w:eastAsia="en-GB"/>
        </w:rPr>
      </w:pPr>
    </w:p>
    <w:p w14:paraId="5F52DD2E" w14:textId="609066B6" w:rsidR="00EC6388" w:rsidRPr="0089598C" w:rsidRDefault="00EC6388" w:rsidP="00932AFF">
      <w:pPr>
        <w:spacing w:after="0" w:line="240" w:lineRule="auto"/>
        <w:rPr>
          <w:rFonts w:ascii="Arial" w:hAnsi="Arial" w:cs="Arial"/>
          <w:b/>
          <w:bCs/>
          <w:noProof/>
          <w:sz w:val="24"/>
          <w:szCs w:val="24"/>
          <w:lang w:eastAsia="en-GB"/>
        </w:rPr>
      </w:pPr>
      <w:r w:rsidRPr="0089598C">
        <w:rPr>
          <w:rFonts w:ascii="Arial" w:hAnsi="Arial" w:cs="Arial"/>
          <w:b/>
          <w:bCs/>
          <w:noProof/>
          <w:sz w:val="24"/>
          <w:szCs w:val="24"/>
          <w:lang w:eastAsia="en-GB"/>
        </w:rPr>
        <w:t>Harrow’s age ranges</w:t>
      </w:r>
    </w:p>
    <w:p w14:paraId="40FFE016" w14:textId="1E1E975E" w:rsidR="00EC6388" w:rsidRDefault="005B3074" w:rsidP="00EC6388">
      <w:pPr>
        <w:spacing w:after="0" w:line="240" w:lineRule="auto"/>
        <w:rPr>
          <w:rFonts w:ascii="Arial" w:hAnsi="Arial" w:cs="Arial"/>
          <w:sz w:val="24"/>
          <w:szCs w:val="24"/>
        </w:rPr>
      </w:pPr>
      <w:r>
        <w:rPr>
          <w:rFonts w:ascii="Arial" w:hAnsi="Arial" w:cs="Arial"/>
          <w:sz w:val="24"/>
          <w:szCs w:val="24"/>
        </w:rPr>
        <w:t xml:space="preserve">The table below shows </w:t>
      </w:r>
      <w:r w:rsidR="00EC6388" w:rsidRPr="0089598C">
        <w:rPr>
          <w:rFonts w:ascii="Arial" w:hAnsi="Arial" w:cs="Arial"/>
          <w:sz w:val="24"/>
          <w:szCs w:val="24"/>
        </w:rPr>
        <w:t xml:space="preserve">Harrow’s </w:t>
      </w:r>
      <w:r>
        <w:rPr>
          <w:rFonts w:ascii="Arial" w:hAnsi="Arial" w:cs="Arial"/>
          <w:sz w:val="24"/>
          <w:szCs w:val="24"/>
        </w:rPr>
        <w:t>age ranges up to 90+.  There is a projected drop in the 0 to 9 and 20 to 39 age ranges, with an increase for the remainder of the ages.</w:t>
      </w:r>
    </w:p>
    <w:p w14:paraId="32513150" w14:textId="6FDD94FD" w:rsidR="004C7AB3" w:rsidRDefault="004C7AB3" w:rsidP="00EC6388">
      <w:pPr>
        <w:spacing w:after="0" w:line="240" w:lineRule="auto"/>
        <w:rPr>
          <w:rFonts w:ascii="Arial" w:hAnsi="Arial" w:cs="Arial"/>
          <w:sz w:val="24"/>
          <w:szCs w:val="24"/>
        </w:rPr>
      </w:pPr>
    </w:p>
    <w:tbl>
      <w:tblPr>
        <w:tblW w:w="5069" w:type="dxa"/>
        <w:tblInd w:w="113" w:type="dxa"/>
        <w:tblLook w:val="04A0" w:firstRow="1" w:lastRow="0" w:firstColumn="1" w:lastColumn="0" w:noHBand="0" w:noVBand="1"/>
      </w:tblPr>
      <w:tblGrid>
        <w:gridCol w:w="1817"/>
        <w:gridCol w:w="1084"/>
        <w:gridCol w:w="1084"/>
        <w:gridCol w:w="1084"/>
      </w:tblGrid>
      <w:tr w:rsidR="004C7AB3" w:rsidRPr="004C7AB3" w14:paraId="02D8CEC6" w14:textId="77777777" w:rsidTr="004C7AB3">
        <w:trPr>
          <w:trHeight w:val="290"/>
        </w:trPr>
        <w:tc>
          <w:tcPr>
            <w:tcW w:w="1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EE284" w14:textId="77777777" w:rsidR="004C7AB3" w:rsidRPr="004C7AB3" w:rsidRDefault="004C7AB3" w:rsidP="004C7AB3">
            <w:pPr>
              <w:spacing w:after="0" w:line="240" w:lineRule="auto"/>
              <w:rPr>
                <w:rFonts w:ascii="Arial" w:eastAsia="Times New Roman" w:hAnsi="Arial" w:cs="Arial"/>
                <w:b/>
                <w:bCs/>
                <w:color w:val="000000"/>
                <w:sz w:val="24"/>
                <w:szCs w:val="24"/>
                <w:lang w:eastAsia="en-GB"/>
              </w:rPr>
            </w:pPr>
            <w:r w:rsidRPr="004C7AB3">
              <w:rPr>
                <w:rFonts w:ascii="Arial" w:eastAsia="Times New Roman" w:hAnsi="Arial" w:cs="Arial"/>
                <w:b/>
                <w:bCs/>
                <w:color w:val="000000"/>
                <w:sz w:val="24"/>
                <w:szCs w:val="24"/>
                <w:lang w:eastAsia="en-GB"/>
              </w:rPr>
              <w:t>AGE GROUP</w:t>
            </w:r>
          </w:p>
        </w:tc>
        <w:tc>
          <w:tcPr>
            <w:tcW w:w="1084" w:type="dxa"/>
            <w:tcBorders>
              <w:top w:val="single" w:sz="4" w:space="0" w:color="auto"/>
              <w:left w:val="nil"/>
              <w:bottom w:val="single" w:sz="4" w:space="0" w:color="auto"/>
              <w:right w:val="single" w:sz="4" w:space="0" w:color="auto"/>
            </w:tcBorders>
            <w:shd w:val="clear" w:color="auto" w:fill="auto"/>
            <w:vAlign w:val="bottom"/>
            <w:hideMark/>
          </w:tcPr>
          <w:p w14:paraId="5544BBDE" w14:textId="77777777" w:rsidR="004C7AB3" w:rsidRPr="004C7AB3" w:rsidRDefault="004C7AB3" w:rsidP="004C7AB3">
            <w:pPr>
              <w:spacing w:after="0" w:line="240" w:lineRule="auto"/>
              <w:jc w:val="center"/>
              <w:rPr>
                <w:rFonts w:ascii="Arial" w:eastAsia="Times New Roman" w:hAnsi="Arial" w:cs="Arial"/>
                <w:b/>
                <w:bCs/>
                <w:color w:val="000000"/>
                <w:sz w:val="24"/>
                <w:szCs w:val="24"/>
                <w:lang w:eastAsia="en-GB"/>
              </w:rPr>
            </w:pPr>
            <w:r w:rsidRPr="004C7AB3">
              <w:rPr>
                <w:rFonts w:ascii="Arial" w:eastAsia="Times New Roman" w:hAnsi="Arial" w:cs="Arial"/>
                <w:b/>
                <w:bCs/>
                <w:color w:val="000000"/>
                <w:sz w:val="24"/>
                <w:szCs w:val="24"/>
                <w:lang w:eastAsia="en-GB"/>
              </w:rPr>
              <w:t>2018</w:t>
            </w:r>
          </w:p>
        </w:tc>
        <w:tc>
          <w:tcPr>
            <w:tcW w:w="1084" w:type="dxa"/>
            <w:tcBorders>
              <w:top w:val="single" w:sz="4" w:space="0" w:color="auto"/>
              <w:left w:val="nil"/>
              <w:bottom w:val="single" w:sz="4" w:space="0" w:color="auto"/>
              <w:right w:val="single" w:sz="4" w:space="0" w:color="auto"/>
            </w:tcBorders>
            <w:shd w:val="clear" w:color="auto" w:fill="auto"/>
            <w:vAlign w:val="bottom"/>
            <w:hideMark/>
          </w:tcPr>
          <w:p w14:paraId="48E80C4A" w14:textId="77777777" w:rsidR="004C7AB3" w:rsidRPr="004C7AB3" w:rsidRDefault="004C7AB3" w:rsidP="004C7AB3">
            <w:pPr>
              <w:spacing w:after="0" w:line="240" w:lineRule="auto"/>
              <w:jc w:val="center"/>
              <w:rPr>
                <w:rFonts w:ascii="Arial" w:eastAsia="Times New Roman" w:hAnsi="Arial" w:cs="Arial"/>
                <w:b/>
                <w:bCs/>
                <w:color w:val="000000"/>
                <w:sz w:val="24"/>
                <w:szCs w:val="24"/>
                <w:lang w:eastAsia="en-GB"/>
              </w:rPr>
            </w:pPr>
            <w:r w:rsidRPr="004C7AB3">
              <w:rPr>
                <w:rFonts w:ascii="Arial" w:eastAsia="Times New Roman" w:hAnsi="Arial" w:cs="Arial"/>
                <w:b/>
                <w:bCs/>
                <w:color w:val="000000"/>
                <w:sz w:val="24"/>
                <w:szCs w:val="24"/>
                <w:lang w:eastAsia="en-GB"/>
              </w:rPr>
              <w:t>2023</w:t>
            </w:r>
          </w:p>
        </w:tc>
        <w:tc>
          <w:tcPr>
            <w:tcW w:w="1084" w:type="dxa"/>
            <w:tcBorders>
              <w:top w:val="single" w:sz="4" w:space="0" w:color="auto"/>
              <w:left w:val="nil"/>
              <w:bottom w:val="single" w:sz="4" w:space="0" w:color="auto"/>
              <w:right w:val="single" w:sz="4" w:space="0" w:color="auto"/>
            </w:tcBorders>
            <w:shd w:val="clear" w:color="auto" w:fill="auto"/>
            <w:vAlign w:val="bottom"/>
            <w:hideMark/>
          </w:tcPr>
          <w:p w14:paraId="092C4828" w14:textId="77777777" w:rsidR="004C7AB3" w:rsidRPr="004C7AB3" w:rsidRDefault="004C7AB3" w:rsidP="004C7AB3">
            <w:pPr>
              <w:spacing w:after="0" w:line="240" w:lineRule="auto"/>
              <w:jc w:val="center"/>
              <w:rPr>
                <w:rFonts w:ascii="Arial" w:eastAsia="Times New Roman" w:hAnsi="Arial" w:cs="Arial"/>
                <w:b/>
                <w:bCs/>
                <w:color w:val="000000"/>
                <w:sz w:val="24"/>
                <w:szCs w:val="24"/>
                <w:lang w:eastAsia="en-GB"/>
              </w:rPr>
            </w:pPr>
            <w:r w:rsidRPr="004C7AB3">
              <w:rPr>
                <w:rFonts w:ascii="Arial" w:eastAsia="Times New Roman" w:hAnsi="Arial" w:cs="Arial"/>
                <w:b/>
                <w:bCs/>
                <w:color w:val="000000"/>
                <w:sz w:val="24"/>
                <w:szCs w:val="24"/>
                <w:lang w:eastAsia="en-GB"/>
              </w:rPr>
              <w:t>2028</w:t>
            </w:r>
          </w:p>
        </w:tc>
      </w:tr>
      <w:tr w:rsidR="004C7AB3" w:rsidRPr="004C7AB3" w14:paraId="42190953" w14:textId="77777777" w:rsidTr="004C7AB3">
        <w:trPr>
          <w:trHeight w:val="29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528123CC" w14:textId="77777777" w:rsidR="004C7AB3" w:rsidRPr="004C7AB3" w:rsidRDefault="004C7AB3" w:rsidP="004C7AB3">
            <w:pPr>
              <w:spacing w:after="0" w:line="240" w:lineRule="auto"/>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0-4</w:t>
            </w:r>
          </w:p>
        </w:tc>
        <w:tc>
          <w:tcPr>
            <w:tcW w:w="1084" w:type="dxa"/>
            <w:tcBorders>
              <w:top w:val="nil"/>
              <w:left w:val="nil"/>
              <w:bottom w:val="single" w:sz="4" w:space="0" w:color="auto"/>
              <w:right w:val="single" w:sz="4" w:space="0" w:color="auto"/>
            </w:tcBorders>
            <w:shd w:val="clear" w:color="auto" w:fill="auto"/>
            <w:vAlign w:val="bottom"/>
            <w:hideMark/>
          </w:tcPr>
          <w:p w14:paraId="3F4726D9"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17,745</w:t>
            </w:r>
          </w:p>
        </w:tc>
        <w:tc>
          <w:tcPr>
            <w:tcW w:w="1084" w:type="dxa"/>
            <w:tcBorders>
              <w:top w:val="nil"/>
              <w:left w:val="nil"/>
              <w:bottom w:val="single" w:sz="4" w:space="0" w:color="auto"/>
              <w:right w:val="single" w:sz="4" w:space="0" w:color="auto"/>
            </w:tcBorders>
            <w:shd w:val="clear" w:color="auto" w:fill="auto"/>
            <w:vAlign w:val="bottom"/>
            <w:hideMark/>
          </w:tcPr>
          <w:p w14:paraId="27AA263B"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15,732</w:t>
            </w:r>
          </w:p>
        </w:tc>
        <w:tc>
          <w:tcPr>
            <w:tcW w:w="1084" w:type="dxa"/>
            <w:tcBorders>
              <w:top w:val="nil"/>
              <w:left w:val="nil"/>
              <w:bottom w:val="single" w:sz="4" w:space="0" w:color="auto"/>
              <w:right w:val="single" w:sz="4" w:space="0" w:color="auto"/>
            </w:tcBorders>
            <w:shd w:val="clear" w:color="auto" w:fill="auto"/>
            <w:vAlign w:val="bottom"/>
            <w:hideMark/>
          </w:tcPr>
          <w:p w14:paraId="45895F47"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14,840</w:t>
            </w:r>
          </w:p>
        </w:tc>
      </w:tr>
      <w:tr w:rsidR="004C7AB3" w:rsidRPr="004C7AB3" w14:paraId="496AD421" w14:textId="77777777" w:rsidTr="004C7AB3">
        <w:trPr>
          <w:trHeight w:val="29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55878985" w14:textId="77777777" w:rsidR="004C7AB3" w:rsidRPr="004C7AB3" w:rsidRDefault="004C7AB3" w:rsidP="004C7AB3">
            <w:pPr>
              <w:spacing w:after="0" w:line="240" w:lineRule="auto"/>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5-9</w:t>
            </w:r>
          </w:p>
        </w:tc>
        <w:tc>
          <w:tcPr>
            <w:tcW w:w="1084" w:type="dxa"/>
            <w:tcBorders>
              <w:top w:val="nil"/>
              <w:left w:val="nil"/>
              <w:bottom w:val="single" w:sz="4" w:space="0" w:color="auto"/>
              <w:right w:val="single" w:sz="4" w:space="0" w:color="auto"/>
            </w:tcBorders>
            <w:shd w:val="clear" w:color="auto" w:fill="auto"/>
            <w:vAlign w:val="bottom"/>
            <w:hideMark/>
          </w:tcPr>
          <w:p w14:paraId="4BB3A163"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16,783</w:t>
            </w:r>
          </w:p>
        </w:tc>
        <w:tc>
          <w:tcPr>
            <w:tcW w:w="1084" w:type="dxa"/>
            <w:tcBorders>
              <w:top w:val="nil"/>
              <w:left w:val="nil"/>
              <w:bottom w:val="single" w:sz="4" w:space="0" w:color="auto"/>
              <w:right w:val="single" w:sz="4" w:space="0" w:color="auto"/>
            </w:tcBorders>
            <w:shd w:val="clear" w:color="auto" w:fill="auto"/>
            <w:vAlign w:val="bottom"/>
            <w:hideMark/>
          </w:tcPr>
          <w:p w14:paraId="45432649"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16,919</w:t>
            </w:r>
          </w:p>
        </w:tc>
        <w:tc>
          <w:tcPr>
            <w:tcW w:w="1084" w:type="dxa"/>
            <w:tcBorders>
              <w:top w:val="nil"/>
              <w:left w:val="nil"/>
              <w:bottom w:val="single" w:sz="4" w:space="0" w:color="auto"/>
              <w:right w:val="single" w:sz="4" w:space="0" w:color="auto"/>
            </w:tcBorders>
            <w:shd w:val="clear" w:color="auto" w:fill="auto"/>
            <w:vAlign w:val="bottom"/>
            <w:hideMark/>
          </w:tcPr>
          <w:p w14:paraId="3C2097C2"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15,059</w:t>
            </w:r>
          </w:p>
        </w:tc>
      </w:tr>
      <w:tr w:rsidR="004C7AB3" w:rsidRPr="004C7AB3" w14:paraId="25F2A825" w14:textId="77777777" w:rsidTr="004C7AB3">
        <w:trPr>
          <w:trHeight w:val="29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2258C9FC" w14:textId="77777777" w:rsidR="004C7AB3" w:rsidRPr="004C7AB3" w:rsidRDefault="004C7AB3" w:rsidP="004C7AB3">
            <w:pPr>
              <w:spacing w:after="0" w:line="240" w:lineRule="auto"/>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10-14</w:t>
            </w:r>
          </w:p>
        </w:tc>
        <w:tc>
          <w:tcPr>
            <w:tcW w:w="1084" w:type="dxa"/>
            <w:tcBorders>
              <w:top w:val="nil"/>
              <w:left w:val="nil"/>
              <w:bottom w:val="single" w:sz="4" w:space="0" w:color="auto"/>
              <w:right w:val="single" w:sz="4" w:space="0" w:color="auto"/>
            </w:tcBorders>
            <w:shd w:val="clear" w:color="auto" w:fill="auto"/>
            <w:vAlign w:val="bottom"/>
            <w:hideMark/>
          </w:tcPr>
          <w:p w14:paraId="434993C6"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15,080</w:t>
            </w:r>
          </w:p>
        </w:tc>
        <w:tc>
          <w:tcPr>
            <w:tcW w:w="1084" w:type="dxa"/>
            <w:tcBorders>
              <w:top w:val="nil"/>
              <w:left w:val="nil"/>
              <w:bottom w:val="single" w:sz="4" w:space="0" w:color="auto"/>
              <w:right w:val="single" w:sz="4" w:space="0" w:color="auto"/>
            </w:tcBorders>
            <w:shd w:val="clear" w:color="auto" w:fill="auto"/>
            <w:vAlign w:val="bottom"/>
            <w:hideMark/>
          </w:tcPr>
          <w:p w14:paraId="78B6FADA"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16,417</w:t>
            </w:r>
          </w:p>
        </w:tc>
        <w:tc>
          <w:tcPr>
            <w:tcW w:w="1084" w:type="dxa"/>
            <w:tcBorders>
              <w:top w:val="nil"/>
              <w:left w:val="nil"/>
              <w:bottom w:val="single" w:sz="4" w:space="0" w:color="auto"/>
              <w:right w:val="single" w:sz="4" w:space="0" w:color="auto"/>
            </w:tcBorders>
            <w:shd w:val="clear" w:color="auto" w:fill="auto"/>
            <w:vAlign w:val="bottom"/>
            <w:hideMark/>
          </w:tcPr>
          <w:p w14:paraId="1EC27AED"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16,378</w:t>
            </w:r>
          </w:p>
        </w:tc>
      </w:tr>
      <w:tr w:rsidR="004C7AB3" w:rsidRPr="004C7AB3" w14:paraId="53D1E7EC" w14:textId="77777777" w:rsidTr="004C7AB3">
        <w:trPr>
          <w:trHeight w:val="29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6929694F" w14:textId="77777777" w:rsidR="004C7AB3" w:rsidRPr="004C7AB3" w:rsidRDefault="004C7AB3" w:rsidP="004C7AB3">
            <w:pPr>
              <w:spacing w:after="0" w:line="240" w:lineRule="auto"/>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15-19</w:t>
            </w:r>
          </w:p>
        </w:tc>
        <w:tc>
          <w:tcPr>
            <w:tcW w:w="1084" w:type="dxa"/>
            <w:tcBorders>
              <w:top w:val="nil"/>
              <w:left w:val="nil"/>
              <w:bottom w:val="single" w:sz="4" w:space="0" w:color="auto"/>
              <w:right w:val="single" w:sz="4" w:space="0" w:color="auto"/>
            </w:tcBorders>
            <w:shd w:val="clear" w:color="auto" w:fill="auto"/>
            <w:vAlign w:val="bottom"/>
            <w:hideMark/>
          </w:tcPr>
          <w:p w14:paraId="74B9DBAE"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13,767</w:t>
            </w:r>
          </w:p>
        </w:tc>
        <w:tc>
          <w:tcPr>
            <w:tcW w:w="1084" w:type="dxa"/>
            <w:tcBorders>
              <w:top w:val="nil"/>
              <w:left w:val="nil"/>
              <w:bottom w:val="single" w:sz="4" w:space="0" w:color="auto"/>
              <w:right w:val="single" w:sz="4" w:space="0" w:color="auto"/>
            </w:tcBorders>
            <w:shd w:val="clear" w:color="auto" w:fill="auto"/>
            <w:vAlign w:val="bottom"/>
            <w:hideMark/>
          </w:tcPr>
          <w:p w14:paraId="192D9634"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13,981</w:t>
            </w:r>
          </w:p>
        </w:tc>
        <w:tc>
          <w:tcPr>
            <w:tcW w:w="1084" w:type="dxa"/>
            <w:tcBorders>
              <w:top w:val="nil"/>
              <w:left w:val="nil"/>
              <w:bottom w:val="single" w:sz="4" w:space="0" w:color="auto"/>
              <w:right w:val="single" w:sz="4" w:space="0" w:color="auto"/>
            </w:tcBorders>
            <w:shd w:val="clear" w:color="auto" w:fill="auto"/>
            <w:vAlign w:val="bottom"/>
            <w:hideMark/>
          </w:tcPr>
          <w:p w14:paraId="04E80344"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15,142</w:t>
            </w:r>
          </w:p>
        </w:tc>
      </w:tr>
      <w:tr w:rsidR="004C7AB3" w:rsidRPr="004C7AB3" w14:paraId="63D21BA2" w14:textId="77777777" w:rsidTr="004C7AB3">
        <w:trPr>
          <w:trHeight w:val="29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36BB269F" w14:textId="77777777" w:rsidR="004C7AB3" w:rsidRPr="004C7AB3" w:rsidRDefault="004C7AB3" w:rsidP="004C7AB3">
            <w:pPr>
              <w:spacing w:after="0" w:line="240" w:lineRule="auto"/>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20-24</w:t>
            </w:r>
          </w:p>
        </w:tc>
        <w:tc>
          <w:tcPr>
            <w:tcW w:w="1084" w:type="dxa"/>
            <w:tcBorders>
              <w:top w:val="nil"/>
              <w:left w:val="nil"/>
              <w:bottom w:val="single" w:sz="4" w:space="0" w:color="auto"/>
              <w:right w:val="single" w:sz="4" w:space="0" w:color="auto"/>
            </w:tcBorders>
            <w:shd w:val="clear" w:color="auto" w:fill="auto"/>
            <w:vAlign w:val="bottom"/>
            <w:hideMark/>
          </w:tcPr>
          <w:p w14:paraId="44C56C17"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13,528</w:t>
            </w:r>
          </w:p>
        </w:tc>
        <w:tc>
          <w:tcPr>
            <w:tcW w:w="1084" w:type="dxa"/>
            <w:tcBorders>
              <w:top w:val="nil"/>
              <w:left w:val="nil"/>
              <w:bottom w:val="single" w:sz="4" w:space="0" w:color="auto"/>
              <w:right w:val="single" w:sz="4" w:space="0" w:color="auto"/>
            </w:tcBorders>
            <w:shd w:val="clear" w:color="auto" w:fill="auto"/>
            <w:vAlign w:val="bottom"/>
            <w:hideMark/>
          </w:tcPr>
          <w:p w14:paraId="64D08F63"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11,880</w:t>
            </w:r>
          </w:p>
        </w:tc>
        <w:tc>
          <w:tcPr>
            <w:tcW w:w="1084" w:type="dxa"/>
            <w:tcBorders>
              <w:top w:val="nil"/>
              <w:left w:val="nil"/>
              <w:bottom w:val="single" w:sz="4" w:space="0" w:color="auto"/>
              <w:right w:val="single" w:sz="4" w:space="0" w:color="auto"/>
            </w:tcBorders>
            <w:shd w:val="clear" w:color="auto" w:fill="auto"/>
            <w:vAlign w:val="bottom"/>
            <w:hideMark/>
          </w:tcPr>
          <w:p w14:paraId="3019AB6C"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12,208</w:t>
            </w:r>
          </w:p>
        </w:tc>
      </w:tr>
      <w:tr w:rsidR="004C7AB3" w:rsidRPr="004C7AB3" w14:paraId="39F3A020" w14:textId="77777777" w:rsidTr="004C7AB3">
        <w:trPr>
          <w:trHeight w:val="29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0E7B080C" w14:textId="77777777" w:rsidR="004C7AB3" w:rsidRPr="004C7AB3" w:rsidRDefault="004C7AB3" w:rsidP="004C7AB3">
            <w:pPr>
              <w:spacing w:after="0" w:line="240" w:lineRule="auto"/>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25-29</w:t>
            </w:r>
          </w:p>
        </w:tc>
        <w:tc>
          <w:tcPr>
            <w:tcW w:w="1084" w:type="dxa"/>
            <w:tcBorders>
              <w:top w:val="nil"/>
              <w:left w:val="nil"/>
              <w:bottom w:val="single" w:sz="4" w:space="0" w:color="auto"/>
              <w:right w:val="single" w:sz="4" w:space="0" w:color="auto"/>
            </w:tcBorders>
            <w:shd w:val="clear" w:color="auto" w:fill="auto"/>
            <w:vAlign w:val="bottom"/>
            <w:hideMark/>
          </w:tcPr>
          <w:p w14:paraId="20F060F2"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17,457</w:t>
            </w:r>
          </w:p>
        </w:tc>
        <w:tc>
          <w:tcPr>
            <w:tcW w:w="1084" w:type="dxa"/>
            <w:tcBorders>
              <w:top w:val="nil"/>
              <w:left w:val="nil"/>
              <w:bottom w:val="single" w:sz="4" w:space="0" w:color="auto"/>
              <w:right w:val="single" w:sz="4" w:space="0" w:color="auto"/>
            </w:tcBorders>
            <w:shd w:val="clear" w:color="auto" w:fill="auto"/>
            <w:vAlign w:val="bottom"/>
            <w:hideMark/>
          </w:tcPr>
          <w:p w14:paraId="40C3DA50"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16,870</w:t>
            </w:r>
          </w:p>
        </w:tc>
        <w:tc>
          <w:tcPr>
            <w:tcW w:w="1084" w:type="dxa"/>
            <w:tcBorders>
              <w:top w:val="nil"/>
              <w:left w:val="nil"/>
              <w:bottom w:val="single" w:sz="4" w:space="0" w:color="auto"/>
              <w:right w:val="single" w:sz="4" w:space="0" w:color="auto"/>
            </w:tcBorders>
            <w:shd w:val="clear" w:color="auto" w:fill="auto"/>
            <w:vAlign w:val="bottom"/>
            <w:hideMark/>
          </w:tcPr>
          <w:p w14:paraId="349B03F5"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15,478</w:t>
            </w:r>
          </w:p>
        </w:tc>
      </w:tr>
      <w:tr w:rsidR="004C7AB3" w:rsidRPr="004C7AB3" w14:paraId="3EDC0C9C" w14:textId="77777777" w:rsidTr="004C7AB3">
        <w:trPr>
          <w:trHeight w:val="29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5252C876" w14:textId="77777777" w:rsidR="004C7AB3" w:rsidRPr="004C7AB3" w:rsidRDefault="004C7AB3" w:rsidP="004C7AB3">
            <w:pPr>
              <w:spacing w:after="0" w:line="240" w:lineRule="auto"/>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30-34</w:t>
            </w:r>
          </w:p>
        </w:tc>
        <w:tc>
          <w:tcPr>
            <w:tcW w:w="1084" w:type="dxa"/>
            <w:tcBorders>
              <w:top w:val="nil"/>
              <w:left w:val="nil"/>
              <w:bottom w:val="single" w:sz="4" w:space="0" w:color="auto"/>
              <w:right w:val="single" w:sz="4" w:space="0" w:color="auto"/>
            </w:tcBorders>
            <w:shd w:val="clear" w:color="auto" w:fill="auto"/>
            <w:vAlign w:val="bottom"/>
            <w:hideMark/>
          </w:tcPr>
          <w:p w14:paraId="4CE132BB"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19,119</w:t>
            </w:r>
          </w:p>
        </w:tc>
        <w:tc>
          <w:tcPr>
            <w:tcW w:w="1084" w:type="dxa"/>
            <w:tcBorders>
              <w:top w:val="nil"/>
              <w:left w:val="nil"/>
              <w:bottom w:val="single" w:sz="4" w:space="0" w:color="auto"/>
              <w:right w:val="single" w:sz="4" w:space="0" w:color="auto"/>
            </w:tcBorders>
            <w:shd w:val="clear" w:color="auto" w:fill="auto"/>
            <w:vAlign w:val="bottom"/>
            <w:hideMark/>
          </w:tcPr>
          <w:p w14:paraId="7663FDEE"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17,354</w:t>
            </w:r>
          </w:p>
        </w:tc>
        <w:tc>
          <w:tcPr>
            <w:tcW w:w="1084" w:type="dxa"/>
            <w:tcBorders>
              <w:top w:val="nil"/>
              <w:left w:val="nil"/>
              <w:bottom w:val="single" w:sz="4" w:space="0" w:color="auto"/>
              <w:right w:val="single" w:sz="4" w:space="0" w:color="auto"/>
            </w:tcBorders>
            <w:shd w:val="clear" w:color="auto" w:fill="auto"/>
            <w:vAlign w:val="bottom"/>
            <w:hideMark/>
          </w:tcPr>
          <w:p w14:paraId="75119708"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16,555</w:t>
            </w:r>
          </w:p>
        </w:tc>
      </w:tr>
      <w:tr w:rsidR="004C7AB3" w:rsidRPr="004C7AB3" w14:paraId="3B1D322B" w14:textId="77777777" w:rsidTr="004C7AB3">
        <w:trPr>
          <w:trHeight w:val="29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1ADC9C82" w14:textId="77777777" w:rsidR="004C7AB3" w:rsidRPr="004C7AB3" w:rsidRDefault="004C7AB3" w:rsidP="004C7AB3">
            <w:pPr>
              <w:spacing w:after="0" w:line="240" w:lineRule="auto"/>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35-39</w:t>
            </w:r>
          </w:p>
        </w:tc>
        <w:tc>
          <w:tcPr>
            <w:tcW w:w="1084" w:type="dxa"/>
            <w:tcBorders>
              <w:top w:val="nil"/>
              <w:left w:val="nil"/>
              <w:bottom w:val="single" w:sz="4" w:space="0" w:color="auto"/>
              <w:right w:val="single" w:sz="4" w:space="0" w:color="auto"/>
            </w:tcBorders>
            <w:shd w:val="clear" w:color="auto" w:fill="auto"/>
            <w:vAlign w:val="bottom"/>
            <w:hideMark/>
          </w:tcPr>
          <w:p w14:paraId="1C6CE6EB"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19,467</w:t>
            </w:r>
          </w:p>
        </w:tc>
        <w:tc>
          <w:tcPr>
            <w:tcW w:w="1084" w:type="dxa"/>
            <w:tcBorders>
              <w:top w:val="nil"/>
              <w:left w:val="nil"/>
              <w:bottom w:val="single" w:sz="4" w:space="0" w:color="auto"/>
              <w:right w:val="single" w:sz="4" w:space="0" w:color="auto"/>
            </w:tcBorders>
            <w:shd w:val="clear" w:color="auto" w:fill="auto"/>
            <w:vAlign w:val="bottom"/>
            <w:hideMark/>
          </w:tcPr>
          <w:p w14:paraId="18E387FC"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18,101</w:t>
            </w:r>
          </w:p>
        </w:tc>
        <w:tc>
          <w:tcPr>
            <w:tcW w:w="1084" w:type="dxa"/>
            <w:tcBorders>
              <w:top w:val="nil"/>
              <w:left w:val="nil"/>
              <w:bottom w:val="single" w:sz="4" w:space="0" w:color="auto"/>
              <w:right w:val="single" w:sz="4" w:space="0" w:color="auto"/>
            </w:tcBorders>
            <w:shd w:val="clear" w:color="auto" w:fill="auto"/>
            <w:vAlign w:val="bottom"/>
            <w:hideMark/>
          </w:tcPr>
          <w:p w14:paraId="6BE49461"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16,590</w:t>
            </w:r>
          </w:p>
        </w:tc>
      </w:tr>
      <w:tr w:rsidR="004C7AB3" w:rsidRPr="004C7AB3" w14:paraId="0563580C" w14:textId="77777777" w:rsidTr="004C7AB3">
        <w:trPr>
          <w:trHeight w:val="29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6A1A68DF" w14:textId="77777777" w:rsidR="004C7AB3" w:rsidRPr="004C7AB3" w:rsidRDefault="004C7AB3" w:rsidP="004C7AB3">
            <w:pPr>
              <w:spacing w:after="0" w:line="240" w:lineRule="auto"/>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40-44</w:t>
            </w:r>
          </w:p>
        </w:tc>
        <w:tc>
          <w:tcPr>
            <w:tcW w:w="1084" w:type="dxa"/>
            <w:tcBorders>
              <w:top w:val="nil"/>
              <w:left w:val="nil"/>
              <w:bottom w:val="single" w:sz="4" w:space="0" w:color="auto"/>
              <w:right w:val="single" w:sz="4" w:space="0" w:color="auto"/>
            </w:tcBorders>
            <w:shd w:val="clear" w:color="auto" w:fill="auto"/>
            <w:vAlign w:val="bottom"/>
            <w:hideMark/>
          </w:tcPr>
          <w:p w14:paraId="12361745"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17,210</w:t>
            </w:r>
          </w:p>
        </w:tc>
        <w:tc>
          <w:tcPr>
            <w:tcW w:w="1084" w:type="dxa"/>
            <w:tcBorders>
              <w:top w:val="nil"/>
              <w:left w:val="nil"/>
              <w:bottom w:val="single" w:sz="4" w:space="0" w:color="auto"/>
              <w:right w:val="single" w:sz="4" w:space="0" w:color="auto"/>
            </w:tcBorders>
            <w:shd w:val="clear" w:color="auto" w:fill="auto"/>
            <w:vAlign w:val="bottom"/>
            <w:hideMark/>
          </w:tcPr>
          <w:p w14:paraId="402766E4"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18,452</w:t>
            </w:r>
          </w:p>
        </w:tc>
        <w:tc>
          <w:tcPr>
            <w:tcW w:w="1084" w:type="dxa"/>
            <w:tcBorders>
              <w:top w:val="nil"/>
              <w:left w:val="nil"/>
              <w:bottom w:val="single" w:sz="4" w:space="0" w:color="auto"/>
              <w:right w:val="single" w:sz="4" w:space="0" w:color="auto"/>
            </w:tcBorders>
            <w:shd w:val="clear" w:color="auto" w:fill="auto"/>
            <w:vAlign w:val="bottom"/>
            <w:hideMark/>
          </w:tcPr>
          <w:p w14:paraId="42A314D7"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17,292</w:t>
            </w:r>
          </w:p>
        </w:tc>
      </w:tr>
      <w:tr w:rsidR="004C7AB3" w:rsidRPr="004C7AB3" w14:paraId="151B8F6D" w14:textId="77777777" w:rsidTr="004C7AB3">
        <w:trPr>
          <w:trHeight w:val="29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4F3572F7" w14:textId="77777777" w:rsidR="004C7AB3" w:rsidRPr="004C7AB3" w:rsidRDefault="004C7AB3" w:rsidP="004C7AB3">
            <w:pPr>
              <w:spacing w:after="0" w:line="240" w:lineRule="auto"/>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45-49</w:t>
            </w:r>
          </w:p>
        </w:tc>
        <w:tc>
          <w:tcPr>
            <w:tcW w:w="1084" w:type="dxa"/>
            <w:tcBorders>
              <w:top w:val="nil"/>
              <w:left w:val="nil"/>
              <w:bottom w:val="single" w:sz="4" w:space="0" w:color="auto"/>
              <w:right w:val="single" w:sz="4" w:space="0" w:color="auto"/>
            </w:tcBorders>
            <w:shd w:val="clear" w:color="auto" w:fill="auto"/>
            <w:vAlign w:val="bottom"/>
            <w:hideMark/>
          </w:tcPr>
          <w:p w14:paraId="508846D2"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16,432</w:t>
            </w:r>
          </w:p>
        </w:tc>
        <w:tc>
          <w:tcPr>
            <w:tcW w:w="1084" w:type="dxa"/>
            <w:tcBorders>
              <w:top w:val="nil"/>
              <w:left w:val="nil"/>
              <w:bottom w:val="single" w:sz="4" w:space="0" w:color="auto"/>
              <w:right w:val="single" w:sz="4" w:space="0" w:color="auto"/>
            </w:tcBorders>
            <w:shd w:val="clear" w:color="auto" w:fill="auto"/>
            <w:vAlign w:val="bottom"/>
            <w:hideMark/>
          </w:tcPr>
          <w:p w14:paraId="1711BF02"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16,585</w:t>
            </w:r>
          </w:p>
        </w:tc>
        <w:tc>
          <w:tcPr>
            <w:tcW w:w="1084" w:type="dxa"/>
            <w:tcBorders>
              <w:top w:val="nil"/>
              <w:left w:val="nil"/>
              <w:bottom w:val="single" w:sz="4" w:space="0" w:color="auto"/>
              <w:right w:val="single" w:sz="4" w:space="0" w:color="auto"/>
            </w:tcBorders>
            <w:shd w:val="clear" w:color="auto" w:fill="auto"/>
            <w:vAlign w:val="bottom"/>
            <w:hideMark/>
          </w:tcPr>
          <w:p w14:paraId="1ED9659A"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17,725</w:t>
            </w:r>
          </w:p>
        </w:tc>
      </w:tr>
      <w:tr w:rsidR="004C7AB3" w:rsidRPr="004C7AB3" w14:paraId="2C43FD6B" w14:textId="77777777" w:rsidTr="004C7AB3">
        <w:trPr>
          <w:trHeight w:val="29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5D5A1134" w14:textId="77777777" w:rsidR="004C7AB3" w:rsidRPr="004C7AB3" w:rsidRDefault="004C7AB3" w:rsidP="004C7AB3">
            <w:pPr>
              <w:spacing w:after="0" w:line="240" w:lineRule="auto"/>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50-54</w:t>
            </w:r>
          </w:p>
        </w:tc>
        <w:tc>
          <w:tcPr>
            <w:tcW w:w="1084" w:type="dxa"/>
            <w:tcBorders>
              <w:top w:val="nil"/>
              <w:left w:val="nil"/>
              <w:bottom w:val="single" w:sz="4" w:space="0" w:color="auto"/>
              <w:right w:val="single" w:sz="4" w:space="0" w:color="auto"/>
            </w:tcBorders>
            <w:shd w:val="clear" w:color="auto" w:fill="auto"/>
            <w:vAlign w:val="bottom"/>
            <w:hideMark/>
          </w:tcPr>
          <w:p w14:paraId="6352D21A"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15,926</w:t>
            </w:r>
          </w:p>
        </w:tc>
        <w:tc>
          <w:tcPr>
            <w:tcW w:w="1084" w:type="dxa"/>
            <w:tcBorders>
              <w:top w:val="nil"/>
              <w:left w:val="nil"/>
              <w:bottom w:val="single" w:sz="4" w:space="0" w:color="auto"/>
              <w:right w:val="single" w:sz="4" w:space="0" w:color="auto"/>
            </w:tcBorders>
            <w:shd w:val="clear" w:color="auto" w:fill="auto"/>
            <w:vAlign w:val="bottom"/>
            <w:hideMark/>
          </w:tcPr>
          <w:p w14:paraId="7B5323F5"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15,925</w:t>
            </w:r>
          </w:p>
        </w:tc>
        <w:tc>
          <w:tcPr>
            <w:tcW w:w="1084" w:type="dxa"/>
            <w:tcBorders>
              <w:top w:val="nil"/>
              <w:left w:val="nil"/>
              <w:bottom w:val="single" w:sz="4" w:space="0" w:color="auto"/>
              <w:right w:val="single" w:sz="4" w:space="0" w:color="auto"/>
            </w:tcBorders>
            <w:shd w:val="clear" w:color="auto" w:fill="auto"/>
            <w:vAlign w:val="bottom"/>
            <w:hideMark/>
          </w:tcPr>
          <w:p w14:paraId="3F975927"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15,970</w:t>
            </w:r>
          </w:p>
        </w:tc>
      </w:tr>
      <w:tr w:rsidR="004C7AB3" w:rsidRPr="004C7AB3" w14:paraId="5FB675D5" w14:textId="77777777" w:rsidTr="004C7AB3">
        <w:trPr>
          <w:trHeight w:val="29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475DB9F4" w14:textId="77777777" w:rsidR="004C7AB3" w:rsidRPr="004C7AB3" w:rsidRDefault="004C7AB3" w:rsidP="004C7AB3">
            <w:pPr>
              <w:spacing w:after="0" w:line="240" w:lineRule="auto"/>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55-59</w:t>
            </w:r>
          </w:p>
        </w:tc>
        <w:tc>
          <w:tcPr>
            <w:tcW w:w="1084" w:type="dxa"/>
            <w:tcBorders>
              <w:top w:val="nil"/>
              <w:left w:val="nil"/>
              <w:bottom w:val="single" w:sz="4" w:space="0" w:color="auto"/>
              <w:right w:val="single" w:sz="4" w:space="0" w:color="auto"/>
            </w:tcBorders>
            <w:shd w:val="clear" w:color="auto" w:fill="auto"/>
            <w:vAlign w:val="bottom"/>
            <w:hideMark/>
          </w:tcPr>
          <w:p w14:paraId="71B39570"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15,278</w:t>
            </w:r>
          </w:p>
        </w:tc>
        <w:tc>
          <w:tcPr>
            <w:tcW w:w="1084" w:type="dxa"/>
            <w:tcBorders>
              <w:top w:val="nil"/>
              <w:left w:val="nil"/>
              <w:bottom w:val="single" w:sz="4" w:space="0" w:color="auto"/>
              <w:right w:val="single" w:sz="4" w:space="0" w:color="auto"/>
            </w:tcBorders>
            <w:shd w:val="clear" w:color="auto" w:fill="auto"/>
            <w:vAlign w:val="bottom"/>
            <w:hideMark/>
          </w:tcPr>
          <w:p w14:paraId="1178D4B0"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15,489</w:t>
            </w:r>
          </w:p>
        </w:tc>
        <w:tc>
          <w:tcPr>
            <w:tcW w:w="1084" w:type="dxa"/>
            <w:tcBorders>
              <w:top w:val="nil"/>
              <w:left w:val="nil"/>
              <w:bottom w:val="single" w:sz="4" w:space="0" w:color="auto"/>
              <w:right w:val="single" w:sz="4" w:space="0" w:color="auto"/>
            </w:tcBorders>
            <w:shd w:val="clear" w:color="auto" w:fill="auto"/>
            <w:vAlign w:val="bottom"/>
            <w:hideMark/>
          </w:tcPr>
          <w:p w14:paraId="63842619"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15,461</w:t>
            </w:r>
          </w:p>
        </w:tc>
      </w:tr>
      <w:tr w:rsidR="004C7AB3" w:rsidRPr="004C7AB3" w14:paraId="14B48FE0" w14:textId="77777777" w:rsidTr="004C7AB3">
        <w:trPr>
          <w:trHeight w:val="29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75D343AB" w14:textId="77777777" w:rsidR="004C7AB3" w:rsidRPr="004C7AB3" w:rsidRDefault="004C7AB3" w:rsidP="004C7AB3">
            <w:pPr>
              <w:spacing w:after="0" w:line="240" w:lineRule="auto"/>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60-64</w:t>
            </w:r>
          </w:p>
        </w:tc>
        <w:tc>
          <w:tcPr>
            <w:tcW w:w="1084" w:type="dxa"/>
            <w:tcBorders>
              <w:top w:val="nil"/>
              <w:left w:val="nil"/>
              <w:bottom w:val="single" w:sz="4" w:space="0" w:color="auto"/>
              <w:right w:val="single" w:sz="4" w:space="0" w:color="auto"/>
            </w:tcBorders>
            <w:shd w:val="clear" w:color="auto" w:fill="auto"/>
            <w:vAlign w:val="bottom"/>
            <w:hideMark/>
          </w:tcPr>
          <w:p w14:paraId="44D7E86A"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13,155</w:t>
            </w:r>
          </w:p>
        </w:tc>
        <w:tc>
          <w:tcPr>
            <w:tcW w:w="1084" w:type="dxa"/>
            <w:tcBorders>
              <w:top w:val="nil"/>
              <w:left w:val="nil"/>
              <w:bottom w:val="single" w:sz="4" w:space="0" w:color="auto"/>
              <w:right w:val="single" w:sz="4" w:space="0" w:color="auto"/>
            </w:tcBorders>
            <w:shd w:val="clear" w:color="auto" w:fill="auto"/>
            <w:vAlign w:val="bottom"/>
            <w:hideMark/>
          </w:tcPr>
          <w:p w14:paraId="29FBF690"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14,406</w:t>
            </w:r>
          </w:p>
        </w:tc>
        <w:tc>
          <w:tcPr>
            <w:tcW w:w="1084" w:type="dxa"/>
            <w:tcBorders>
              <w:top w:val="nil"/>
              <w:left w:val="nil"/>
              <w:bottom w:val="single" w:sz="4" w:space="0" w:color="auto"/>
              <w:right w:val="single" w:sz="4" w:space="0" w:color="auto"/>
            </w:tcBorders>
            <w:shd w:val="clear" w:color="auto" w:fill="auto"/>
            <w:vAlign w:val="bottom"/>
            <w:hideMark/>
          </w:tcPr>
          <w:p w14:paraId="422EB3CD"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14,694</w:t>
            </w:r>
          </w:p>
        </w:tc>
      </w:tr>
      <w:tr w:rsidR="004C7AB3" w:rsidRPr="004C7AB3" w14:paraId="79761FBE" w14:textId="77777777" w:rsidTr="004C7AB3">
        <w:trPr>
          <w:trHeight w:val="29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6E003407" w14:textId="77777777" w:rsidR="004C7AB3" w:rsidRPr="004C7AB3" w:rsidRDefault="004C7AB3" w:rsidP="004C7AB3">
            <w:pPr>
              <w:spacing w:after="0" w:line="240" w:lineRule="auto"/>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65-69</w:t>
            </w:r>
          </w:p>
        </w:tc>
        <w:tc>
          <w:tcPr>
            <w:tcW w:w="1084" w:type="dxa"/>
            <w:tcBorders>
              <w:top w:val="nil"/>
              <w:left w:val="nil"/>
              <w:bottom w:val="single" w:sz="4" w:space="0" w:color="auto"/>
              <w:right w:val="single" w:sz="4" w:space="0" w:color="auto"/>
            </w:tcBorders>
            <w:shd w:val="clear" w:color="auto" w:fill="auto"/>
            <w:vAlign w:val="bottom"/>
            <w:hideMark/>
          </w:tcPr>
          <w:p w14:paraId="18D8DE77"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11,190</w:t>
            </w:r>
          </w:p>
        </w:tc>
        <w:tc>
          <w:tcPr>
            <w:tcW w:w="1084" w:type="dxa"/>
            <w:tcBorders>
              <w:top w:val="nil"/>
              <w:left w:val="nil"/>
              <w:bottom w:val="single" w:sz="4" w:space="0" w:color="auto"/>
              <w:right w:val="single" w:sz="4" w:space="0" w:color="auto"/>
            </w:tcBorders>
            <w:shd w:val="clear" w:color="auto" w:fill="auto"/>
            <w:vAlign w:val="bottom"/>
            <w:hideMark/>
          </w:tcPr>
          <w:p w14:paraId="52DB40B0"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12,359</w:t>
            </w:r>
          </w:p>
        </w:tc>
        <w:tc>
          <w:tcPr>
            <w:tcW w:w="1084" w:type="dxa"/>
            <w:tcBorders>
              <w:top w:val="nil"/>
              <w:left w:val="nil"/>
              <w:bottom w:val="single" w:sz="4" w:space="0" w:color="auto"/>
              <w:right w:val="single" w:sz="4" w:space="0" w:color="auto"/>
            </w:tcBorders>
            <w:shd w:val="clear" w:color="auto" w:fill="auto"/>
            <w:vAlign w:val="bottom"/>
            <w:hideMark/>
          </w:tcPr>
          <w:p w14:paraId="404D8863"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13,564</w:t>
            </w:r>
          </w:p>
        </w:tc>
      </w:tr>
      <w:tr w:rsidR="004C7AB3" w:rsidRPr="004C7AB3" w14:paraId="7F86FACB" w14:textId="77777777" w:rsidTr="004C7AB3">
        <w:trPr>
          <w:trHeight w:val="29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43ACBDCD" w14:textId="77777777" w:rsidR="004C7AB3" w:rsidRPr="004C7AB3" w:rsidRDefault="004C7AB3" w:rsidP="004C7AB3">
            <w:pPr>
              <w:spacing w:after="0" w:line="240" w:lineRule="auto"/>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70-74</w:t>
            </w:r>
          </w:p>
        </w:tc>
        <w:tc>
          <w:tcPr>
            <w:tcW w:w="1084" w:type="dxa"/>
            <w:tcBorders>
              <w:top w:val="nil"/>
              <w:left w:val="nil"/>
              <w:bottom w:val="single" w:sz="4" w:space="0" w:color="auto"/>
              <w:right w:val="single" w:sz="4" w:space="0" w:color="auto"/>
            </w:tcBorders>
            <w:shd w:val="clear" w:color="auto" w:fill="auto"/>
            <w:vAlign w:val="bottom"/>
            <w:hideMark/>
          </w:tcPr>
          <w:p w14:paraId="54FA2C06"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9,598</w:t>
            </w:r>
          </w:p>
        </w:tc>
        <w:tc>
          <w:tcPr>
            <w:tcW w:w="1084" w:type="dxa"/>
            <w:tcBorders>
              <w:top w:val="nil"/>
              <w:left w:val="nil"/>
              <w:bottom w:val="single" w:sz="4" w:space="0" w:color="auto"/>
              <w:right w:val="single" w:sz="4" w:space="0" w:color="auto"/>
            </w:tcBorders>
            <w:shd w:val="clear" w:color="auto" w:fill="auto"/>
            <w:vAlign w:val="bottom"/>
            <w:hideMark/>
          </w:tcPr>
          <w:p w14:paraId="1C77D81F"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10,233</w:t>
            </w:r>
          </w:p>
        </w:tc>
        <w:tc>
          <w:tcPr>
            <w:tcW w:w="1084" w:type="dxa"/>
            <w:tcBorders>
              <w:top w:val="nil"/>
              <w:left w:val="nil"/>
              <w:bottom w:val="single" w:sz="4" w:space="0" w:color="auto"/>
              <w:right w:val="single" w:sz="4" w:space="0" w:color="auto"/>
            </w:tcBorders>
            <w:shd w:val="clear" w:color="auto" w:fill="auto"/>
            <w:vAlign w:val="bottom"/>
            <w:hideMark/>
          </w:tcPr>
          <w:p w14:paraId="3CAACCFE"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11,314</w:t>
            </w:r>
          </w:p>
        </w:tc>
      </w:tr>
      <w:tr w:rsidR="004C7AB3" w:rsidRPr="004C7AB3" w14:paraId="57D12D12" w14:textId="77777777" w:rsidTr="004C7AB3">
        <w:trPr>
          <w:trHeight w:val="29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78504BBB" w14:textId="77777777" w:rsidR="004C7AB3" w:rsidRPr="004C7AB3" w:rsidRDefault="004C7AB3" w:rsidP="004C7AB3">
            <w:pPr>
              <w:spacing w:after="0" w:line="240" w:lineRule="auto"/>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75-79</w:t>
            </w:r>
          </w:p>
        </w:tc>
        <w:tc>
          <w:tcPr>
            <w:tcW w:w="1084" w:type="dxa"/>
            <w:tcBorders>
              <w:top w:val="nil"/>
              <w:left w:val="nil"/>
              <w:bottom w:val="single" w:sz="4" w:space="0" w:color="auto"/>
              <w:right w:val="single" w:sz="4" w:space="0" w:color="auto"/>
            </w:tcBorders>
            <w:shd w:val="clear" w:color="auto" w:fill="auto"/>
            <w:vAlign w:val="bottom"/>
            <w:hideMark/>
          </w:tcPr>
          <w:p w14:paraId="3B764D3B"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6,996</w:t>
            </w:r>
          </w:p>
        </w:tc>
        <w:tc>
          <w:tcPr>
            <w:tcW w:w="1084" w:type="dxa"/>
            <w:tcBorders>
              <w:top w:val="nil"/>
              <w:left w:val="nil"/>
              <w:bottom w:val="single" w:sz="4" w:space="0" w:color="auto"/>
              <w:right w:val="single" w:sz="4" w:space="0" w:color="auto"/>
            </w:tcBorders>
            <w:shd w:val="clear" w:color="auto" w:fill="auto"/>
            <w:vAlign w:val="bottom"/>
            <w:hideMark/>
          </w:tcPr>
          <w:p w14:paraId="447D937F"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8,427</w:t>
            </w:r>
          </w:p>
        </w:tc>
        <w:tc>
          <w:tcPr>
            <w:tcW w:w="1084" w:type="dxa"/>
            <w:tcBorders>
              <w:top w:val="nil"/>
              <w:left w:val="nil"/>
              <w:bottom w:val="single" w:sz="4" w:space="0" w:color="auto"/>
              <w:right w:val="single" w:sz="4" w:space="0" w:color="auto"/>
            </w:tcBorders>
            <w:shd w:val="clear" w:color="auto" w:fill="auto"/>
            <w:vAlign w:val="bottom"/>
            <w:hideMark/>
          </w:tcPr>
          <w:p w14:paraId="2090386B"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9,002</w:t>
            </w:r>
          </w:p>
        </w:tc>
      </w:tr>
      <w:tr w:rsidR="004C7AB3" w:rsidRPr="004C7AB3" w14:paraId="762D6686" w14:textId="77777777" w:rsidTr="004C7AB3">
        <w:trPr>
          <w:trHeight w:val="29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0EBB0154" w14:textId="77777777" w:rsidR="004C7AB3" w:rsidRPr="004C7AB3" w:rsidRDefault="004C7AB3" w:rsidP="004C7AB3">
            <w:pPr>
              <w:spacing w:after="0" w:line="240" w:lineRule="auto"/>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80-84</w:t>
            </w:r>
          </w:p>
        </w:tc>
        <w:tc>
          <w:tcPr>
            <w:tcW w:w="1084" w:type="dxa"/>
            <w:tcBorders>
              <w:top w:val="nil"/>
              <w:left w:val="nil"/>
              <w:bottom w:val="single" w:sz="4" w:space="0" w:color="auto"/>
              <w:right w:val="single" w:sz="4" w:space="0" w:color="auto"/>
            </w:tcBorders>
            <w:shd w:val="clear" w:color="auto" w:fill="auto"/>
            <w:vAlign w:val="bottom"/>
            <w:hideMark/>
          </w:tcPr>
          <w:p w14:paraId="372EBBAC"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5,740</w:t>
            </w:r>
          </w:p>
        </w:tc>
        <w:tc>
          <w:tcPr>
            <w:tcW w:w="1084" w:type="dxa"/>
            <w:tcBorders>
              <w:top w:val="nil"/>
              <w:left w:val="nil"/>
              <w:bottom w:val="single" w:sz="4" w:space="0" w:color="auto"/>
              <w:right w:val="single" w:sz="4" w:space="0" w:color="auto"/>
            </w:tcBorders>
            <w:shd w:val="clear" w:color="auto" w:fill="auto"/>
            <w:vAlign w:val="bottom"/>
            <w:hideMark/>
          </w:tcPr>
          <w:p w14:paraId="16E28C41"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5,738</w:t>
            </w:r>
          </w:p>
        </w:tc>
        <w:tc>
          <w:tcPr>
            <w:tcW w:w="1084" w:type="dxa"/>
            <w:tcBorders>
              <w:top w:val="nil"/>
              <w:left w:val="nil"/>
              <w:bottom w:val="single" w:sz="4" w:space="0" w:color="auto"/>
              <w:right w:val="single" w:sz="4" w:space="0" w:color="auto"/>
            </w:tcBorders>
            <w:shd w:val="clear" w:color="auto" w:fill="auto"/>
            <w:vAlign w:val="bottom"/>
            <w:hideMark/>
          </w:tcPr>
          <w:p w14:paraId="0C2B5A21"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6,960</w:t>
            </w:r>
          </w:p>
        </w:tc>
      </w:tr>
      <w:tr w:rsidR="004C7AB3" w:rsidRPr="004C7AB3" w14:paraId="170A2A93" w14:textId="77777777" w:rsidTr="004C7AB3">
        <w:trPr>
          <w:trHeight w:val="29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46C307E8" w14:textId="77777777" w:rsidR="004C7AB3" w:rsidRPr="004C7AB3" w:rsidRDefault="004C7AB3" w:rsidP="004C7AB3">
            <w:pPr>
              <w:spacing w:after="0" w:line="240" w:lineRule="auto"/>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85-89</w:t>
            </w:r>
          </w:p>
        </w:tc>
        <w:tc>
          <w:tcPr>
            <w:tcW w:w="1084" w:type="dxa"/>
            <w:tcBorders>
              <w:top w:val="nil"/>
              <w:left w:val="nil"/>
              <w:bottom w:val="single" w:sz="4" w:space="0" w:color="auto"/>
              <w:right w:val="single" w:sz="4" w:space="0" w:color="auto"/>
            </w:tcBorders>
            <w:shd w:val="clear" w:color="auto" w:fill="auto"/>
            <w:vAlign w:val="bottom"/>
            <w:hideMark/>
          </w:tcPr>
          <w:p w14:paraId="43133868"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3,530</w:t>
            </w:r>
          </w:p>
        </w:tc>
        <w:tc>
          <w:tcPr>
            <w:tcW w:w="1084" w:type="dxa"/>
            <w:tcBorders>
              <w:top w:val="nil"/>
              <w:left w:val="nil"/>
              <w:bottom w:val="single" w:sz="4" w:space="0" w:color="auto"/>
              <w:right w:val="single" w:sz="4" w:space="0" w:color="auto"/>
            </w:tcBorders>
            <w:shd w:val="clear" w:color="auto" w:fill="auto"/>
            <w:vAlign w:val="bottom"/>
            <w:hideMark/>
          </w:tcPr>
          <w:p w14:paraId="5367C18D"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4,035</w:t>
            </w:r>
          </w:p>
        </w:tc>
        <w:tc>
          <w:tcPr>
            <w:tcW w:w="1084" w:type="dxa"/>
            <w:tcBorders>
              <w:top w:val="nil"/>
              <w:left w:val="nil"/>
              <w:bottom w:val="single" w:sz="4" w:space="0" w:color="auto"/>
              <w:right w:val="single" w:sz="4" w:space="0" w:color="auto"/>
            </w:tcBorders>
            <w:shd w:val="clear" w:color="auto" w:fill="auto"/>
            <w:vAlign w:val="bottom"/>
            <w:hideMark/>
          </w:tcPr>
          <w:p w14:paraId="4E791AE9"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4,091</w:t>
            </w:r>
          </w:p>
        </w:tc>
      </w:tr>
      <w:tr w:rsidR="004C7AB3" w:rsidRPr="004C7AB3" w14:paraId="1B24BB9C" w14:textId="77777777" w:rsidTr="004C7AB3">
        <w:trPr>
          <w:trHeight w:val="29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7C0FF947" w14:textId="77777777" w:rsidR="004C7AB3" w:rsidRPr="004C7AB3" w:rsidRDefault="004C7AB3" w:rsidP="004C7AB3">
            <w:pPr>
              <w:spacing w:after="0" w:line="240" w:lineRule="auto"/>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90+</w:t>
            </w:r>
          </w:p>
        </w:tc>
        <w:tc>
          <w:tcPr>
            <w:tcW w:w="1084" w:type="dxa"/>
            <w:tcBorders>
              <w:top w:val="nil"/>
              <w:left w:val="nil"/>
              <w:bottom w:val="single" w:sz="4" w:space="0" w:color="auto"/>
              <w:right w:val="single" w:sz="4" w:space="0" w:color="auto"/>
            </w:tcBorders>
            <w:shd w:val="clear" w:color="auto" w:fill="auto"/>
            <w:vAlign w:val="bottom"/>
            <w:hideMark/>
          </w:tcPr>
          <w:p w14:paraId="0BDB1B9F"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2,148</w:t>
            </w:r>
          </w:p>
        </w:tc>
        <w:tc>
          <w:tcPr>
            <w:tcW w:w="1084" w:type="dxa"/>
            <w:tcBorders>
              <w:top w:val="nil"/>
              <w:left w:val="nil"/>
              <w:bottom w:val="single" w:sz="4" w:space="0" w:color="auto"/>
              <w:right w:val="single" w:sz="4" w:space="0" w:color="auto"/>
            </w:tcBorders>
            <w:shd w:val="clear" w:color="auto" w:fill="auto"/>
            <w:vAlign w:val="bottom"/>
            <w:hideMark/>
          </w:tcPr>
          <w:p w14:paraId="6FBF5BEE"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2,560</w:t>
            </w:r>
          </w:p>
        </w:tc>
        <w:tc>
          <w:tcPr>
            <w:tcW w:w="1084" w:type="dxa"/>
            <w:tcBorders>
              <w:top w:val="nil"/>
              <w:left w:val="nil"/>
              <w:bottom w:val="single" w:sz="4" w:space="0" w:color="auto"/>
              <w:right w:val="single" w:sz="4" w:space="0" w:color="auto"/>
            </w:tcBorders>
            <w:shd w:val="clear" w:color="auto" w:fill="auto"/>
            <w:vAlign w:val="bottom"/>
            <w:hideMark/>
          </w:tcPr>
          <w:p w14:paraId="1B36AA01"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3,017</w:t>
            </w:r>
          </w:p>
        </w:tc>
      </w:tr>
      <w:tr w:rsidR="004C7AB3" w:rsidRPr="004C7AB3" w14:paraId="3B795945" w14:textId="77777777" w:rsidTr="004C7AB3">
        <w:trPr>
          <w:trHeight w:val="290"/>
        </w:trPr>
        <w:tc>
          <w:tcPr>
            <w:tcW w:w="1817" w:type="dxa"/>
            <w:tcBorders>
              <w:top w:val="nil"/>
              <w:left w:val="single" w:sz="4" w:space="0" w:color="auto"/>
              <w:bottom w:val="single" w:sz="4" w:space="0" w:color="auto"/>
              <w:right w:val="single" w:sz="4" w:space="0" w:color="auto"/>
            </w:tcBorders>
            <w:shd w:val="clear" w:color="auto" w:fill="auto"/>
            <w:vAlign w:val="bottom"/>
            <w:hideMark/>
          </w:tcPr>
          <w:p w14:paraId="6B3E21F1" w14:textId="77777777" w:rsidR="004C7AB3" w:rsidRPr="004C7AB3" w:rsidRDefault="004C7AB3" w:rsidP="004C7AB3">
            <w:pPr>
              <w:spacing w:after="0" w:line="240" w:lineRule="auto"/>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All ages</w:t>
            </w:r>
          </w:p>
        </w:tc>
        <w:tc>
          <w:tcPr>
            <w:tcW w:w="1084" w:type="dxa"/>
            <w:tcBorders>
              <w:top w:val="nil"/>
              <w:left w:val="nil"/>
              <w:bottom w:val="single" w:sz="4" w:space="0" w:color="auto"/>
              <w:right w:val="single" w:sz="4" w:space="0" w:color="auto"/>
            </w:tcBorders>
            <w:shd w:val="clear" w:color="auto" w:fill="auto"/>
            <w:vAlign w:val="bottom"/>
            <w:hideMark/>
          </w:tcPr>
          <w:p w14:paraId="49A90553"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250,149</w:t>
            </w:r>
          </w:p>
        </w:tc>
        <w:tc>
          <w:tcPr>
            <w:tcW w:w="1084" w:type="dxa"/>
            <w:tcBorders>
              <w:top w:val="nil"/>
              <w:left w:val="nil"/>
              <w:bottom w:val="single" w:sz="4" w:space="0" w:color="auto"/>
              <w:right w:val="single" w:sz="4" w:space="0" w:color="auto"/>
            </w:tcBorders>
            <w:shd w:val="clear" w:color="auto" w:fill="auto"/>
            <w:vAlign w:val="bottom"/>
            <w:hideMark/>
          </w:tcPr>
          <w:p w14:paraId="743E14D8"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251,462</w:t>
            </w:r>
          </w:p>
        </w:tc>
        <w:tc>
          <w:tcPr>
            <w:tcW w:w="1084" w:type="dxa"/>
            <w:tcBorders>
              <w:top w:val="nil"/>
              <w:left w:val="nil"/>
              <w:bottom w:val="single" w:sz="4" w:space="0" w:color="auto"/>
              <w:right w:val="single" w:sz="4" w:space="0" w:color="auto"/>
            </w:tcBorders>
            <w:shd w:val="clear" w:color="auto" w:fill="auto"/>
            <w:vAlign w:val="bottom"/>
            <w:hideMark/>
          </w:tcPr>
          <w:p w14:paraId="0CB29E8E" w14:textId="77777777" w:rsidR="004C7AB3" w:rsidRPr="004C7AB3" w:rsidRDefault="004C7AB3" w:rsidP="004C7AB3">
            <w:pPr>
              <w:spacing w:after="0" w:line="240" w:lineRule="auto"/>
              <w:jc w:val="center"/>
              <w:rPr>
                <w:rFonts w:ascii="Arial" w:eastAsia="Times New Roman" w:hAnsi="Arial" w:cs="Arial"/>
                <w:color w:val="000000"/>
                <w:sz w:val="24"/>
                <w:szCs w:val="24"/>
                <w:lang w:eastAsia="en-GB"/>
              </w:rPr>
            </w:pPr>
            <w:r w:rsidRPr="004C7AB3">
              <w:rPr>
                <w:rFonts w:ascii="Arial" w:eastAsia="Times New Roman" w:hAnsi="Arial" w:cs="Arial"/>
                <w:color w:val="000000"/>
                <w:sz w:val="24"/>
                <w:szCs w:val="24"/>
                <w:lang w:eastAsia="en-GB"/>
              </w:rPr>
              <w:t>251,337</w:t>
            </w:r>
          </w:p>
        </w:tc>
      </w:tr>
    </w:tbl>
    <w:p w14:paraId="15D7565A" w14:textId="77777777" w:rsidR="00EC6388" w:rsidRPr="001F6392" w:rsidRDefault="00EC6388" w:rsidP="00932AFF">
      <w:pPr>
        <w:spacing w:after="0" w:line="240" w:lineRule="auto"/>
        <w:rPr>
          <w:rFonts w:ascii="Arial" w:hAnsi="Arial" w:cs="Arial"/>
          <w:noProof/>
          <w:sz w:val="24"/>
          <w:szCs w:val="24"/>
          <w:lang w:eastAsia="en-GB"/>
        </w:rPr>
      </w:pPr>
    </w:p>
    <w:p w14:paraId="408DFE07" w14:textId="7D1F53D1" w:rsidR="00051C55" w:rsidRPr="001F6392" w:rsidRDefault="00051C55" w:rsidP="004916E6">
      <w:pPr>
        <w:spacing w:after="0" w:line="240" w:lineRule="auto"/>
        <w:rPr>
          <w:rFonts w:ascii="Arial" w:hAnsi="Arial" w:cs="Arial"/>
          <w:b/>
          <w:sz w:val="24"/>
          <w:szCs w:val="24"/>
        </w:rPr>
      </w:pPr>
      <w:r w:rsidRPr="001F6392">
        <w:rPr>
          <w:rFonts w:ascii="Arial" w:hAnsi="Arial" w:cs="Arial"/>
          <w:b/>
          <w:sz w:val="24"/>
          <w:szCs w:val="24"/>
        </w:rPr>
        <w:t>Migration</w:t>
      </w:r>
    </w:p>
    <w:p w14:paraId="15AD4848" w14:textId="48EF41E5" w:rsidR="00D57275" w:rsidRDefault="004916E6" w:rsidP="004916E6">
      <w:pPr>
        <w:spacing w:after="0" w:line="240" w:lineRule="auto"/>
        <w:rPr>
          <w:rFonts w:ascii="Arial" w:hAnsi="Arial" w:cs="Arial"/>
          <w:sz w:val="24"/>
          <w:szCs w:val="24"/>
        </w:rPr>
      </w:pPr>
      <w:bookmarkStart w:id="0" w:name="_Hlk46211405"/>
      <w:r w:rsidRPr="005A4460">
        <w:rPr>
          <w:rFonts w:ascii="Arial" w:hAnsi="Arial" w:cs="Arial"/>
          <w:sz w:val="24"/>
          <w:szCs w:val="24"/>
        </w:rPr>
        <w:t xml:space="preserve">Harrow’s internal migration net loss of </w:t>
      </w:r>
      <w:r w:rsidR="005A4460">
        <w:rPr>
          <w:rFonts w:ascii="Arial" w:hAnsi="Arial" w:cs="Arial"/>
          <w:sz w:val="24"/>
          <w:szCs w:val="24"/>
        </w:rPr>
        <w:t>people has continued to drop over the last 4 years</w:t>
      </w:r>
      <w:r w:rsidR="00D57275">
        <w:rPr>
          <w:rFonts w:ascii="Arial" w:hAnsi="Arial" w:cs="Arial"/>
          <w:sz w:val="24"/>
          <w:szCs w:val="24"/>
        </w:rPr>
        <w:t>, as can be seen in the table below.</w:t>
      </w:r>
    </w:p>
    <w:p w14:paraId="1A7C8902" w14:textId="77777777" w:rsidR="00D57275" w:rsidRDefault="00D57275" w:rsidP="004916E6">
      <w:pPr>
        <w:spacing w:after="0" w:line="240" w:lineRule="auto"/>
        <w:rPr>
          <w:rFonts w:ascii="Arial" w:hAnsi="Arial" w:cs="Arial"/>
          <w:sz w:val="24"/>
          <w:szCs w:val="24"/>
        </w:rPr>
      </w:pPr>
    </w:p>
    <w:tbl>
      <w:tblPr>
        <w:tblStyle w:val="TableGrid"/>
        <w:tblW w:w="8600" w:type="dxa"/>
        <w:tblLook w:val="04A0" w:firstRow="1" w:lastRow="0" w:firstColumn="1" w:lastColumn="0" w:noHBand="0" w:noVBand="1"/>
      </w:tblPr>
      <w:tblGrid>
        <w:gridCol w:w="2644"/>
        <w:gridCol w:w="1489"/>
        <w:gridCol w:w="1489"/>
        <w:gridCol w:w="1489"/>
        <w:gridCol w:w="1489"/>
      </w:tblGrid>
      <w:tr w:rsidR="00D57275" w14:paraId="43340EA1" w14:textId="77777777" w:rsidTr="00D57275">
        <w:tc>
          <w:tcPr>
            <w:tcW w:w="2644" w:type="dxa"/>
          </w:tcPr>
          <w:p w14:paraId="67659D60" w14:textId="3D816CFD" w:rsidR="00D57275" w:rsidRDefault="00D57275" w:rsidP="004916E6">
            <w:pPr>
              <w:spacing w:after="0" w:line="240" w:lineRule="auto"/>
              <w:rPr>
                <w:rFonts w:ascii="Arial" w:hAnsi="Arial" w:cs="Arial"/>
                <w:sz w:val="24"/>
                <w:szCs w:val="24"/>
              </w:rPr>
            </w:pPr>
            <w:r>
              <w:rPr>
                <w:rFonts w:ascii="Arial" w:hAnsi="Arial" w:cs="Arial"/>
                <w:sz w:val="24"/>
                <w:szCs w:val="24"/>
              </w:rPr>
              <w:t>Harrow</w:t>
            </w:r>
          </w:p>
        </w:tc>
        <w:tc>
          <w:tcPr>
            <w:tcW w:w="1489" w:type="dxa"/>
          </w:tcPr>
          <w:p w14:paraId="40536868" w14:textId="006672E2" w:rsidR="00D57275" w:rsidRDefault="00D57275" w:rsidP="00D57275">
            <w:pPr>
              <w:spacing w:after="0" w:line="240" w:lineRule="auto"/>
              <w:jc w:val="center"/>
              <w:rPr>
                <w:rFonts w:ascii="Arial" w:hAnsi="Arial" w:cs="Arial"/>
                <w:sz w:val="24"/>
                <w:szCs w:val="24"/>
              </w:rPr>
            </w:pPr>
            <w:r>
              <w:rPr>
                <w:rFonts w:ascii="Arial" w:hAnsi="Arial" w:cs="Arial"/>
                <w:sz w:val="24"/>
                <w:szCs w:val="24"/>
              </w:rPr>
              <w:t xml:space="preserve">2016 </w:t>
            </w:r>
            <w:proofErr w:type="spellStart"/>
            <w:r>
              <w:rPr>
                <w:rFonts w:ascii="Arial" w:hAnsi="Arial" w:cs="Arial"/>
                <w:sz w:val="24"/>
                <w:szCs w:val="24"/>
              </w:rPr>
              <w:t>MYE</w:t>
            </w:r>
            <w:proofErr w:type="spellEnd"/>
          </w:p>
        </w:tc>
        <w:tc>
          <w:tcPr>
            <w:tcW w:w="1489" w:type="dxa"/>
          </w:tcPr>
          <w:p w14:paraId="5AD93346" w14:textId="093CC6E3" w:rsidR="00D57275" w:rsidRDefault="00D57275" w:rsidP="00D57275">
            <w:pPr>
              <w:spacing w:after="0" w:line="240" w:lineRule="auto"/>
              <w:jc w:val="center"/>
              <w:rPr>
                <w:rFonts w:ascii="Arial" w:hAnsi="Arial" w:cs="Arial"/>
                <w:sz w:val="24"/>
                <w:szCs w:val="24"/>
              </w:rPr>
            </w:pPr>
            <w:r>
              <w:rPr>
                <w:rFonts w:ascii="Arial" w:hAnsi="Arial" w:cs="Arial"/>
                <w:sz w:val="24"/>
                <w:szCs w:val="24"/>
              </w:rPr>
              <w:t xml:space="preserve">2017 </w:t>
            </w:r>
            <w:proofErr w:type="spellStart"/>
            <w:r>
              <w:rPr>
                <w:rFonts w:ascii="Arial" w:hAnsi="Arial" w:cs="Arial"/>
                <w:sz w:val="24"/>
                <w:szCs w:val="24"/>
              </w:rPr>
              <w:t>MYE</w:t>
            </w:r>
            <w:proofErr w:type="spellEnd"/>
          </w:p>
        </w:tc>
        <w:tc>
          <w:tcPr>
            <w:tcW w:w="1489" w:type="dxa"/>
          </w:tcPr>
          <w:p w14:paraId="5990E7EF" w14:textId="046AEFE7" w:rsidR="00D57275" w:rsidRDefault="00D57275" w:rsidP="00D57275">
            <w:pPr>
              <w:spacing w:after="0" w:line="240" w:lineRule="auto"/>
              <w:jc w:val="center"/>
              <w:rPr>
                <w:rFonts w:ascii="Arial" w:hAnsi="Arial" w:cs="Arial"/>
                <w:sz w:val="24"/>
                <w:szCs w:val="24"/>
              </w:rPr>
            </w:pPr>
            <w:r>
              <w:rPr>
                <w:rFonts w:ascii="Arial" w:hAnsi="Arial" w:cs="Arial"/>
                <w:sz w:val="24"/>
                <w:szCs w:val="24"/>
              </w:rPr>
              <w:t xml:space="preserve">2018 </w:t>
            </w:r>
            <w:proofErr w:type="spellStart"/>
            <w:r>
              <w:rPr>
                <w:rFonts w:ascii="Arial" w:hAnsi="Arial" w:cs="Arial"/>
                <w:sz w:val="24"/>
                <w:szCs w:val="24"/>
              </w:rPr>
              <w:t>MYE</w:t>
            </w:r>
            <w:proofErr w:type="spellEnd"/>
          </w:p>
        </w:tc>
        <w:tc>
          <w:tcPr>
            <w:tcW w:w="1489" w:type="dxa"/>
          </w:tcPr>
          <w:p w14:paraId="271E9E0F" w14:textId="09F507DD" w:rsidR="00D57275" w:rsidRDefault="00D57275" w:rsidP="00D57275">
            <w:pPr>
              <w:spacing w:after="0" w:line="240" w:lineRule="auto"/>
              <w:jc w:val="center"/>
              <w:rPr>
                <w:rFonts w:ascii="Arial" w:hAnsi="Arial" w:cs="Arial"/>
                <w:sz w:val="24"/>
                <w:szCs w:val="24"/>
              </w:rPr>
            </w:pPr>
            <w:r>
              <w:rPr>
                <w:rFonts w:ascii="Arial" w:hAnsi="Arial" w:cs="Arial"/>
                <w:sz w:val="24"/>
                <w:szCs w:val="24"/>
              </w:rPr>
              <w:t xml:space="preserve">2019 </w:t>
            </w:r>
            <w:proofErr w:type="spellStart"/>
            <w:r>
              <w:rPr>
                <w:rFonts w:ascii="Arial" w:hAnsi="Arial" w:cs="Arial"/>
                <w:sz w:val="24"/>
                <w:szCs w:val="24"/>
              </w:rPr>
              <w:t>MYE</w:t>
            </w:r>
            <w:proofErr w:type="spellEnd"/>
          </w:p>
        </w:tc>
      </w:tr>
      <w:tr w:rsidR="00D57275" w14:paraId="6FCB0674" w14:textId="77777777" w:rsidTr="00D57275">
        <w:tc>
          <w:tcPr>
            <w:tcW w:w="2644" w:type="dxa"/>
          </w:tcPr>
          <w:p w14:paraId="3F221DD1" w14:textId="23B828A9" w:rsidR="00D57275" w:rsidRDefault="00D57275" w:rsidP="004916E6">
            <w:pPr>
              <w:spacing w:after="0" w:line="240" w:lineRule="auto"/>
              <w:rPr>
                <w:rFonts w:ascii="Arial" w:hAnsi="Arial" w:cs="Arial"/>
                <w:sz w:val="24"/>
                <w:szCs w:val="24"/>
              </w:rPr>
            </w:pPr>
            <w:r>
              <w:rPr>
                <w:rFonts w:ascii="Arial" w:hAnsi="Arial" w:cs="Arial"/>
                <w:sz w:val="24"/>
                <w:szCs w:val="24"/>
              </w:rPr>
              <w:t>Internal migration Net</w:t>
            </w:r>
          </w:p>
        </w:tc>
        <w:tc>
          <w:tcPr>
            <w:tcW w:w="1489" w:type="dxa"/>
          </w:tcPr>
          <w:p w14:paraId="1ADEA0E9" w14:textId="4A720447" w:rsidR="00D57275" w:rsidRDefault="00D57275" w:rsidP="00D57275">
            <w:pPr>
              <w:spacing w:after="0" w:line="240" w:lineRule="auto"/>
              <w:jc w:val="center"/>
              <w:rPr>
                <w:rFonts w:ascii="Arial" w:hAnsi="Arial" w:cs="Arial"/>
                <w:sz w:val="24"/>
                <w:szCs w:val="24"/>
              </w:rPr>
            </w:pPr>
            <w:r>
              <w:rPr>
                <w:rFonts w:ascii="Arial" w:hAnsi="Arial" w:cs="Arial"/>
                <w:sz w:val="24"/>
                <w:szCs w:val="24"/>
              </w:rPr>
              <w:t>-4,988</w:t>
            </w:r>
          </w:p>
        </w:tc>
        <w:tc>
          <w:tcPr>
            <w:tcW w:w="1489" w:type="dxa"/>
          </w:tcPr>
          <w:p w14:paraId="69CFD725" w14:textId="532D6563" w:rsidR="00D57275" w:rsidRDefault="00D57275" w:rsidP="00D57275">
            <w:pPr>
              <w:spacing w:after="0" w:line="240" w:lineRule="auto"/>
              <w:jc w:val="center"/>
              <w:rPr>
                <w:rFonts w:ascii="Arial" w:hAnsi="Arial" w:cs="Arial"/>
                <w:sz w:val="24"/>
                <w:szCs w:val="24"/>
              </w:rPr>
            </w:pPr>
            <w:r>
              <w:rPr>
                <w:rFonts w:ascii="Arial" w:hAnsi="Arial" w:cs="Arial"/>
                <w:sz w:val="24"/>
                <w:szCs w:val="24"/>
              </w:rPr>
              <w:t>-4,036</w:t>
            </w:r>
          </w:p>
        </w:tc>
        <w:tc>
          <w:tcPr>
            <w:tcW w:w="1489" w:type="dxa"/>
          </w:tcPr>
          <w:p w14:paraId="657D91BD" w14:textId="38DD3342" w:rsidR="00D57275" w:rsidRDefault="00D57275" w:rsidP="00D57275">
            <w:pPr>
              <w:spacing w:after="0" w:line="240" w:lineRule="auto"/>
              <w:jc w:val="center"/>
              <w:rPr>
                <w:rFonts w:ascii="Arial" w:hAnsi="Arial" w:cs="Arial"/>
                <w:sz w:val="24"/>
                <w:szCs w:val="24"/>
              </w:rPr>
            </w:pPr>
            <w:r>
              <w:rPr>
                <w:rFonts w:ascii="Arial" w:hAnsi="Arial" w:cs="Arial"/>
                <w:sz w:val="24"/>
                <w:szCs w:val="24"/>
              </w:rPr>
              <w:t>-3,458</w:t>
            </w:r>
          </w:p>
        </w:tc>
        <w:tc>
          <w:tcPr>
            <w:tcW w:w="1489" w:type="dxa"/>
          </w:tcPr>
          <w:p w14:paraId="1D4CDDB3" w14:textId="697254C3" w:rsidR="00D57275" w:rsidRDefault="00D57275" w:rsidP="00D57275">
            <w:pPr>
              <w:spacing w:after="0" w:line="240" w:lineRule="auto"/>
              <w:jc w:val="center"/>
              <w:rPr>
                <w:rFonts w:ascii="Arial" w:hAnsi="Arial" w:cs="Arial"/>
                <w:sz w:val="24"/>
                <w:szCs w:val="24"/>
              </w:rPr>
            </w:pPr>
            <w:r>
              <w:rPr>
                <w:rFonts w:ascii="Arial" w:hAnsi="Arial" w:cs="Arial"/>
                <w:sz w:val="24"/>
                <w:szCs w:val="24"/>
              </w:rPr>
              <w:t>-2,138</w:t>
            </w:r>
          </w:p>
        </w:tc>
      </w:tr>
    </w:tbl>
    <w:p w14:paraId="53F04893" w14:textId="77777777" w:rsidR="00D57275" w:rsidRDefault="00D57275" w:rsidP="004916E6">
      <w:pPr>
        <w:spacing w:after="0" w:line="240" w:lineRule="auto"/>
        <w:rPr>
          <w:rFonts w:ascii="Arial" w:hAnsi="Arial" w:cs="Arial"/>
          <w:sz w:val="24"/>
          <w:szCs w:val="24"/>
        </w:rPr>
      </w:pPr>
    </w:p>
    <w:p w14:paraId="2A7F4F9C" w14:textId="77777777" w:rsidR="00D57275" w:rsidRDefault="00D57275" w:rsidP="004916E6">
      <w:pPr>
        <w:spacing w:after="0" w:line="240" w:lineRule="auto"/>
        <w:rPr>
          <w:rFonts w:ascii="Arial" w:hAnsi="Arial" w:cs="Arial"/>
          <w:sz w:val="24"/>
          <w:szCs w:val="24"/>
        </w:rPr>
      </w:pPr>
    </w:p>
    <w:p w14:paraId="14F45268" w14:textId="75C877B1" w:rsidR="00D57275" w:rsidRDefault="00627B2F" w:rsidP="004916E6">
      <w:pPr>
        <w:spacing w:after="0" w:line="240" w:lineRule="auto"/>
        <w:rPr>
          <w:rFonts w:ascii="Arial" w:hAnsi="Arial" w:cs="Arial"/>
          <w:sz w:val="24"/>
          <w:szCs w:val="24"/>
        </w:rPr>
      </w:pPr>
      <w:r>
        <w:rPr>
          <w:rFonts w:ascii="Arial" w:hAnsi="Arial" w:cs="Arial"/>
          <w:sz w:val="24"/>
          <w:szCs w:val="24"/>
        </w:rPr>
        <w:lastRenderedPageBreak/>
        <w:t>In contrast, I</w:t>
      </w:r>
      <w:r w:rsidR="004916E6" w:rsidRPr="005A4460">
        <w:rPr>
          <w:rFonts w:ascii="Arial" w:hAnsi="Arial" w:cs="Arial"/>
          <w:sz w:val="24"/>
          <w:szCs w:val="24"/>
        </w:rPr>
        <w:t>nternational migration has resulted in a net gain</w:t>
      </w:r>
      <w:r w:rsidR="00D57275">
        <w:rPr>
          <w:rFonts w:ascii="Arial" w:hAnsi="Arial" w:cs="Arial"/>
          <w:sz w:val="24"/>
          <w:szCs w:val="24"/>
        </w:rPr>
        <w:t xml:space="preserve">, which has been dropping over the last few years, as can be seen in the table below. </w:t>
      </w:r>
    </w:p>
    <w:p w14:paraId="2D6010CF" w14:textId="60D1318F" w:rsidR="00D57275" w:rsidRDefault="00D57275" w:rsidP="004916E6">
      <w:pPr>
        <w:spacing w:after="0" w:line="240" w:lineRule="auto"/>
        <w:rPr>
          <w:rFonts w:ascii="Arial" w:hAnsi="Arial" w:cs="Arial"/>
          <w:sz w:val="24"/>
          <w:szCs w:val="24"/>
        </w:rPr>
      </w:pPr>
    </w:p>
    <w:tbl>
      <w:tblPr>
        <w:tblStyle w:val="TableGrid"/>
        <w:tblW w:w="9121" w:type="dxa"/>
        <w:tblLook w:val="04A0" w:firstRow="1" w:lastRow="0" w:firstColumn="1" w:lastColumn="0" w:noHBand="0" w:noVBand="1"/>
      </w:tblPr>
      <w:tblGrid>
        <w:gridCol w:w="3165"/>
        <w:gridCol w:w="1489"/>
        <w:gridCol w:w="1489"/>
        <w:gridCol w:w="1489"/>
        <w:gridCol w:w="1489"/>
      </w:tblGrid>
      <w:tr w:rsidR="00D57275" w14:paraId="53655D39" w14:textId="77777777" w:rsidTr="00D57275">
        <w:tc>
          <w:tcPr>
            <w:tcW w:w="3165" w:type="dxa"/>
          </w:tcPr>
          <w:p w14:paraId="14DCB54B" w14:textId="77777777" w:rsidR="00D57275" w:rsidRDefault="00D57275" w:rsidP="008B2044">
            <w:pPr>
              <w:spacing w:after="0" w:line="240" w:lineRule="auto"/>
              <w:rPr>
                <w:rFonts w:ascii="Arial" w:hAnsi="Arial" w:cs="Arial"/>
                <w:sz w:val="24"/>
                <w:szCs w:val="24"/>
              </w:rPr>
            </w:pPr>
            <w:r>
              <w:rPr>
                <w:rFonts w:ascii="Arial" w:hAnsi="Arial" w:cs="Arial"/>
                <w:sz w:val="24"/>
                <w:szCs w:val="24"/>
              </w:rPr>
              <w:t>Harrow</w:t>
            </w:r>
          </w:p>
        </w:tc>
        <w:tc>
          <w:tcPr>
            <w:tcW w:w="1489" w:type="dxa"/>
          </w:tcPr>
          <w:p w14:paraId="7223C98C" w14:textId="77777777" w:rsidR="00D57275" w:rsidRDefault="00D57275" w:rsidP="008B2044">
            <w:pPr>
              <w:spacing w:after="0" w:line="240" w:lineRule="auto"/>
              <w:jc w:val="center"/>
              <w:rPr>
                <w:rFonts w:ascii="Arial" w:hAnsi="Arial" w:cs="Arial"/>
                <w:sz w:val="24"/>
                <w:szCs w:val="24"/>
              </w:rPr>
            </w:pPr>
            <w:r>
              <w:rPr>
                <w:rFonts w:ascii="Arial" w:hAnsi="Arial" w:cs="Arial"/>
                <w:sz w:val="24"/>
                <w:szCs w:val="24"/>
              </w:rPr>
              <w:t xml:space="preserve">2016 </w:t>
            </w:r>
            <w:proofErr w:type="spellStart"/>
            <w:r>
              <w:rPr>
                <w:rFonts w:ascii="Arial" w:hAnsi="Arial" w:cs="Arial"/>
                <w:sz w:val="24"/>
                <w:szCs w:val="24"/>
              </w:rPr>
              <w:t>MYE</w:t>
            </w:r>
            <w:proofErr w:type="spellEnd"/>
          </w:p>
        </w:tc>
        <w:tc>
          <w:tcPr>
            <w:tcW w:w="1489" w:type="dxa"/>
          </w:tcPr>
          <w:p w14:paraId="61F7EEC0" w14:textId="77777777" w:rsidR="00D57275" w:rsidRDefault="00D57275" w:rsidP="008B2044">
            <w:pPr>
              <w:spacing w:after="0" w:line="240" w:lineRule="auto"/>
              <w:jc w:val="center"/>
              <w:rPr>
                <w:rFonts w:ascii="Arial" w:hAnsi="Arial" w:cs="Arial"/>
                <w:sz w:val="24"/>
                <w:szCs w:val="24"/>
              </w:rPr>
            </w:pPr>
            <w:r>
              <w:rPr>
                <w:rFonts w:ascii="Arial" w:hAnsi="Arial" w:cs="Arial"/>
                <w:sz w:val="24"/>
                <w:szCs w:val="24"/>
              </w:rPr>
              <w:t xml:space="preserve">2017 </w:t>
            </w:r>
            <w:proofErr w:type="spellStart"/>
            <w:r>
              <w:rPr>
                <w:rFonts w:ascii="Arial" w:hAnsi="Arial" w:cs="Arial"/>
                <w:sz w:val="24"/>
                <w:szCs w:val="24"/>
              </w:rPr>
              <w:t>MYE</w:t>
            </w:r>
            <w:proofErr w:type="spellEnd"/>
          </w:p>
        </w:tc>
        <w:tc>
          <w:tcPr>
            <w:tcW w:w="1489" w:type="dxa"/>
          </w:tcPr>
          <w:p w14:paraId="7F8F355B" w14:textId="77777777" w:rsidR="00D57275" w:rsidRDefault="00D57275" w:rsidP="008B2044">
            <w:pPr>
              <w:spacing w:after="0" w:line="240" w:lineRule="auto"/>
              <w:jc w:val="center"/>
              <w:rPr>
                <w:rFonts w:ascii="Arial" w:hAnsi="Arial" w:cs="Arial"/>
                <w:sz w:val="24"/>
                <w:szCs w:val="24"/>
              </w:rPr>
            </w:pPr>
            <w:r>
              <w:rPr>
                <w:rFonts w:ascii="Arial" w:hAnsi="Arial" w:cs="Arial"/>
                <w:sz w:val="24"/>
                <w:szCs w:val="24"/>
              </w:rPr>
              <w:t xml:space="preserve">2018 </w:t>
            </w:r>
            <w:proofErr w:type="spellStart"/>
            <w:r>
              <w:rPr>
                <w:rFonts w:ascii="Arial" w:hAnsi="Arial" w:cs="Arial"/>
                <w:sz w:val="24"/>
                <w:szCs w:val="24"/>
              </w:rPr>
              <w:t>MYE</w:t>
            </w:r>
            <w:proofErr w:type="spellEnd"/>
          </w:p>
        </w:tc>
        <w:tc>
          <w:tcPr>
            <w:tcW w:w="1489" w:type="dxa"/>
          </w:tcPr>
          <w:p w14:paraId="33FEDCB2" w14:textId="77777777" w:rsidR="00D57275" w:rsidRDefault="00D57275" w:rsidP="008B2044">
            <w:pPr>
              <w:spacing w:after="0" w:line="240" w:lineRule="auto"/>
              <w:jc w:val="center"/>
              <w:rPr>
                <w:rFonts w:ascii="Arial" w:hAnsi="Arial" w:cs="Arial"/>
                <w:sz w:val="24"/>
                <w:szCs w:val="24"/>
              </w:rPr>
            </w:pPr>
            <w:r>
              <w:rPr>
                <w:rFonts w:ascii="Arial" w:hAnsi="Arial" w:cs="Arial"/>
                <w:sz w:val="24"/>
                <w:szCs w:val="24"/>
              </w:rPr>
              <w:t xml:space="preserve">2019 </w:t>
            </w:r>
            <w:proofErr w:type="spellStart"/>
            <w:r>
              <w:rPr>
                <w:rFonts w:ascii="Arial" w:hAnsi="Arial" w:cs="Arial"/>
                <w:sz w:val="24"/>
                <w:szCs w:val="24"/>
              </w:rPr>
              <w:t>MYE</w:t>
            </w:r>
            <w:proofErr w:type="spellEnd"/>
          </w:p>
        </w:tc>
      </w:tr>
      <w:tr w:rsidR="00D57275" w14:paraId="7F102B2D" w14:textId="77777777" w:rsidTr="00D57275">
        <w:tc>
          <w:tcPr>
            <w:tcW w:w="3165" w:type="dxa"/>
          </w:tcPr>
          <w:p w14:paraId="72B63543" w14:textId="4A051F88" w:rsidR="00D57275" w:rsidRDefault="00D57275" w:rsidP="008B2044">
            <w:pPr>
              <w:spacing w:after="0" w:line="240" w:lineRule="auto"/>
              <w:rPr>
                <w:rFonts w:ascii="Arial" w:hAnsi="Arial" w:cs="Arial"/>
                <w:sz w:val="24"/>
                <w:szCs w:val="24"/>
              </w:rPr>
            </w:pPr>
            <w:r>
              <w:rPr>
                <w:rFonts w:ascii="Arial" w:hAnsi="Arial" w:cs="Arial"/>
                <w:sz w:val="24"/>
                <w:szCs w:val="24"/>
              </w:rPr>
              <w:t>Interna</w:t>
            </w:r>
            <w:r>
              <w:rPr>
                <w:rFonts w:ascii="Arial" w:hAnsi="Arial" w:cs="Arial"/>
                <w:sz w:val="24"/>
                <w:szCs w:val="24"/>
              </w:rPr>
              <w:t xml:space="preserve">tional </w:t>
            </w:r>
            <w:r>
              <w:rPr>
                <w:rFonts w:ascii="Arial" w:hAnsi="Arial" w:cs="Arial"/>
                <w:sz w:val="24"/>
                <w:szCs w:val="24"/>
              </w:rPr>
              <w:t>migration Net</w:t>
            </w:r>
          </w:p>
        </w:tc>
        <w:tc>
          <w:tcPr>
            <w:tcW w:w="1489" w:type="dxa"/>
          </w:tcPr>
          <w:p w14:paraId="53263836" w14:textId="4419B3C3" w:rsidR="00D57275" w:rsidRDefault="00D57275" w:rsidP="008B2044">
            <w:pPr>
              <w:spacing w:after="0" w:line="240" w:lineRule="auto"/>
              <w:jc w:val="center"/>
              <w:rPr>
                <w:rFonts w:ascii="Arial" w:hAnsi="Arial" w:cs="Arial"/>
                <w:sz w:val="24"/>
                <w:szCs w:val="24"/>
              </w:rPr>
            </w:pPr>
            <w:r>
              <w:rPr>
                <w:rFonts w:ascii="Arial" w:hAnsi="Arial" w:cs="Arial"/>
                <w:sz w:val="24"/>
                <w:szCs w:val="24"/>
              </w:rPr>
              <w:t>3</w:t>
            </w:r>
            <w:r>
              <w:rPr>
                <w:rFonts w:ascii="Arial" w:hAnsi="Arial" w:cs="Arial"/>
                <w:sz w:val="24"/>
                <w:szCs w:val="24"/>
              </w:rPr>
              <w:t>,</w:t>
            </w:r>
            <w:r>
              <w:rPr>
                <w:rFonts w:ascii="Arial" w:hAnsi="Arial" w:cs="Arial"/>
                <w:sz w:val="24"/>
                <w:szCs w:val="24"/>
              </w:rPr>
              <w:t>035</w:t>
            </w:r>
          </w:p>
        </w:tc>
        <w:tc>
          <w:tcPr>
            <w:tcW w:w="1489" w:type="dxa"/>
          </w:tcPr>
          <w:p w14:paraId="7C47469B" w14:textId="79B7944A" w:rsidR="00D57275" w:rsidRDefault="00D57275" w:rsidP="008B2044">
            <w:pPr>
              <w:spacing w:after="0" w:line="240" w:lineRule="auto"/>
              <w:jc w:val="center"/>
              <w:rPr>
                <w:rFonts w:ascii="Arial" w:hAnsi="Arial" w:cs="Arial"/>
                <w:sz w:val="24"/>
                <w:szCs w:val="24"/>
              </w:rPr>
            </w:pPr>
            <w:r>
              <w:rPr>
                <w:rFonts w:ascii="Arial" w:hAnsi="Arial" w:cs="Arial"/>
                <w:sz w:val="24"/>
                <w:szCs w:val="24"/>
              </w:rPr>
              <w:t>3,202</w:t>
            </w:r>
          </w:p>
        </w:tc>
        <w:tc>
          <w:tcPr>
            <w:tcW w:w="1489" w:type="dxa"/>
          </w:tcPr>
          <w:p w14:paraId="556CA417" w14:textId="53A558B2" w:rsidR="00D57275" w:rsidRDefault="00D57275" w:rsidP="008B2044">
            <w:pPr>
              <w:spacing w:after="0" w:line="240" w:lineRule="auto"/>
              <w:jc w:val="center"/>
              <w:rPr>
                <w:rFonts w:ascii="Arial" w:hAnsi="Arial" w:cs="Arial"/>
                <w:sz w:val="24"/>
                <w:szCs w:val="24"/>
              </w:rPr>
            </w:pPr>
            <w:r>
              <w:rPr>
                <w:rFonts w:ascii="Arial" w:hAnsi="Arial" w:cs="Arial"/>
                <w:sz w:val="24"/>
                <w:szCs w:val="24"/>
              </w:rPr>
              <w:t>2,390</w:t>
            </w:r>
          </w:p>
        </w:tc>
        <w:tc>
          <w:tcPr>
            <w:tcW w:w="1489" w:type="dxa"/>
          </w:tcPr>
          <w:p w14:paraId="43DFE2E4" w14:textId="47EB27F2" w:rsidR="00D57275" w:rsidRDefault="00D57275" w:rsidP="008B2044">
            <w:pPr>
              <w:spacing w:after="0" w:line="240" w:lineRule="auto"/>
              <w:jc w:val="center"/>
              <w:rPr>
                <w:rFonts w:ascii="Arial" w:hAnsi="Arial" w:cs="Arial"/>
                <w:sz w:val="24"/>
                <w:szCs w:val="24"/>
              </w:rPr>
            </w:pPr>
            <w:r>
              <w:rPr>
                <w:rFonts w:ascii="Arial" w:hAnsi="Arial" w:cs="Arial"/>
                <w:sz w:val="24"/>
                <w:szCs w:val="24"/>
              </w:rPr>
              <w:t>1,718</w:t>
            </w:r>
          </w:p>
        </w:tc>
      </w:tr>
    </w:tbl>
    <w:p w14:paraId="54672AAB" w14:textId="77777777" w:rsidR="00D57275" w:rsidRDefault="00D57275" w:rsidP="004916E6">
      <w:pPr>
        <w:spacing w:after="0" w:line="240" w:lineRule="auto"/>
        <w:rPr>
          <w:rFonts w:ascii="Arial" w:hAnsi="Arial" w:cs="Arial"/>
          <w:sz w:val="24"/>
          <w:szCs w:val="24"/>
        </w:rPr>
      </w:pPr>
    </w:p>
    <w:p w14:paraId="60312587" w14:textId="63097558" w:rsidR="00D57275" w:rsidRDefault="004916E6" w:rsidP="004916E6">
      <w:pPr>
        <w:spacing w:after="0" w:line="240" w:lineRule="auto"/>
        <w:rPr>
          <w:rFonts w:ascii="Arial" w:hAnsi="Arial" w:cs="Arial"/>
          <w:sz w:val="24"/>
          <w:szCs w:val="24"/>
        </w:rPr>
      </w:pPr>
      <w:r w:rsidRPr="005A4460">
        <w:rPr>
          <w:rFonts w:ascii="Arial" w:hAnsi="Arial" w:cs="Arial"/>
          <w:sz w:val="24"/>
          <w:szCs w:val="24"/>
        </w:rPr>
        <w:t>The net impact of total migration</w:t>
      </w:r>
      <w:r w:rsidR="00D57275">
        <w:rPr>
          <w:rFonts w:ascii="Arial" w:hAnsi="Arial" w:cs="Arial"/>
          <w:sz w:val="24"/>
          <w:szCs w:val="24"/>
        </w:rPr>
        <w:t xml:space="preserve"> in Harrow over the last four years has resulted in a loss of people, as can be seen in the table below.</w:t>
      </w:r>
    </w:p>
    <w:p w14:paraId="4DE6092A" w14:textId="77777777" w:rsidR="00D57275" w:rsidRDefault="00D57275" w:rsidP="004916E6">
      <w:pPr>
        <w:spacing w:after="0" w:line="240" w:lineRule="auto"/>
        <w:rPr>
          <w:rFonts w:ascii="Arial" w:hAnsi="Arial" w:cs="Arial"/>
          <w:sz w:val="24"/>
          <w:szCs w:val="24"/>
        </w:rPr>
      </w:pPr>
    </w:p>
    <w:tbl>
      <w:tblPr>
        <w:tblStyle w:val="TableGrid"/>
        <w:tblW w:w="9121" w:type="dxa"/>
        <w:tblLook w:val="04A0" w:firstRow="1" w:lastRow="0" w:firstColumn="1" w:lastColumn="0" w:noHBand="0" w:noVBand="1"/>
      </w:tblPr>
      <w:tblGrid>
        <w:gridCol w:w="3165"/>
        <w:gridCol w:w="1489"/>
        <w:gridCol w:w="1489"/>
        <w:gridCol w:w="1489"/>
        <w:gridCol w:w="1489"/>
      </w:tblGrid>
      <w:tr w:rsidR="00D57275" w14:paraId="41D3C5C5" w14:textId="77777777" w:rsidTr="008B2044">
        <w:tc>
          <w:tcPr>
            <w:tcW w:w="3165" w:type="dxa"/>
          </w:tcPr>
          <w:p w14:paraId="0CFA624F" w14:textId="77777777" w:rsidR="00D57275" w:rsidRDefault="00D57275" w:rsidP="008B2044">
            <w:pPr>
              <w:spacing w:after="0" w:line="240" w:lineRule="auto"/>
              <w:rPr>
                <w:rFonts w:ascii="Arial" w:hAnsi="Arial" w:cs="Arial"/>
                <w:sz w:val="24"/>
                <w:szCs w:val="24"/>
              </w:rPr>
            </w:pPr>
            <w:r>
              <w:rPr>
                <w:rFonts w:ascii="Arial" w:hAnsi="Arial" w:cs="Arial"/>
                <w:sz w:val="24"/>
                <w:szCs w:val="24"/>
              </w:rPr>
              <w:t>Harrow</w:t>
            </w:r>
          </w:p>
        </w:tc>
        <w:tc>
          <w:tcPr>
            <w:tcW w:w="1489" w:type="dxa"/>
          </w:tcPr>
          <w:p w14:paraId="7C9A2033" w14:textId="77777777" w:rsidR="00D57275" w:rsidRDefault="00D57275" w:rsidP="008B2044">
            <w:pPr>
              <w:spacing w:after="0" w:line="240" w:lineRule="auto"/>
              <w:jc w:val="center"/>
              <w:rPr>
                <w:rFonts w:ascii="Arial" w:hAnsi="Arial" w:cs="Arial"/>
                <w:sz w:val="24"/>
                <w:szCs w:val="24"/>
              </w:rPr>
            </w:pPr>
            <w:r>
              <w:rPr>
                <w:rFonts w:ascii="Arial" w:hAnsi="Arial" w:cs="Arial"/>
                <w:sz w:val="24"/>
                <w:szCs w:val="24"/>
              </w:rPr>
              <w:t xml:space="preserve">2016 </w:t>
            </w:r>
            <w:proofErr w:type="spellStart"/>
            <w:r>
              <w:rPr>
                <w:rFonts w:ascii="Arial" w:hAnsi="Arial" w:cs="Arial"/>
                <w:sz w:val="24"/>
                <w:szCs w:val="24"/>
              </w:rPr>
              <w:t>MYE</w:t>
            </w:r>
            <w:proofErr w:type="spellEnd"/>
          </w:p>
        </w:tc>
        <w:tc>
          <w:tcPr>
            <w:tcW w:w="1489" w:type="dxa"/>
          </w:tcPr>
          <w:p w14:paraId="3FD24AE0" w14:textId="77777777" w:rsidR="00D57275" w:rsidRDefault="00D57275" w:rsidP="008B2044">
            <w:pPr>
              <w:spacing w:after="0" w:line="240" w:lineRule="auto"/>
              <w:jc w:val="center"/>
              <w:rPr>
                <w:rFonts w:ascii="Arial" w:hAnsi="Arial" w:cs="Arial"/>
                <w:sz w:val="24"/>
                <w:szCs w:val="24"/>
              </w:rPr>
            </w:pPr>
            <w:r>
              <w:rPr>
                <w:rFonts w:ascii="Arial" w:hAnsi="Arial" w:cs="Arial"/>
                <w:sz w:val="24"/>
                <w:szCs w:val="24"/>
              </w:rPr>
              <w:t xml:space="preserve">2017 </w:t>
            </w:r>
            <w:proofErr w:type="spellStart"/>
            <w:r>
              <w:rPr>
                <w:rFonts w:ascii="Arial" w:hAnsi="Arial" w:cs="Arial"/>
                <w:sz w:val="24"/>
                <w:szCs w:val="24"/>
              </w:rPr>
              <w:t>MYE</w:t>
            </w:r>
            <w:proofErr w:type="spellEnd"/>
          </w:p>
        </w:tc>
        <w:tc>
          <w:tcPr>
            <w:tcW w:w="1489" w:type="dxa"/>
          </w:tcPr>
          <w:p w14:paraId="018F4114" w14:textId="77777777" w:rsidR="00D57275" w:rsidRDefault="00D57275" w:rsidP="008B2044">
            <w:pPr>
              <w:spacing w:after="0" w:line="240" w:lineRule="auto"/>
              <w:jc w:val="center"/>
              <w:rPr>
                <w:rFonts w:ascii="Arial" w:hAnsi="Arial" w:cs="Arial"/>
                <w:sz w:val="24"/>
                <w:szCs w:val="24"/>
              </w:rPr>
            </w:pPr>
            <w:r>
              <w:rPr>
                <w:rFonts w:ascii="Arial" w:hAnsi="Arial" w:cs="Arial"/>
                <w:sz w:val="24"/>
                <w:szCs w:val="24"/>
              </w:rPr>
              <w:t xml:space="preserve">2018 </w:t>
            </w:r>
            <w:proofErr w:type="spellStart"/>
            <w:r>
              <w:rPr>
                <w:rFonts w:ascii="Arial" w:hAnsi="Arial" w:cs="Arial"/>
                <w:sz w:val="24"/>
                <w:szCs w:val="24"/>
              </w:rPr>
              <w:t>MYE</w:t>
            </w:r>
            <w:proofErr w:type="spellEnd"/>
          </w:p>
        </w:tc>
        <w:tc>
          <w:tcPr>
            <w:tcW w:w="1489" w:type="dxa"/>
          </w:tcPr>
          <w:p w14:paraId="6FC05D9A" w14:textId="77777777" w:rsidR="00D57275" w:rsidRDefault="00D57275" w:rsidP="008B2044">
            <w:pPr>
              <w:spacing w:after="0" w:line="240" w:lineRule="auto"/>
              <w:jc w:val="center"/>
              <w:rPr>
                <w:rFonts w:ascii="Arial" w:hAnsi="Arial" w:cs="Arial"/>
                <w:sz w:val="24"/>
                <w:szCs w:val="24"/>
              </w:rPr>
            </w:pPr>
            <w:r>
              <w:rPr>
                <w:rFonts w:ascii="Arial" w:hAnsi="Arial" w:cs="Arial"/>
                <w:sz w:val="24"/>
                <w:szCs w:val="24"/>
              </w:rPr>
              <w:t xml:space="preserve">2019 </w:t>
            </w:r>
            <w:proofErr w:type="spellStart"/>
            <w:r>
              <w:rPr>
                <w:rFonts w:ascii="Arial" w:hAnsi="Arial" w:cs="Arial"/>
                <w:sz w:val="24"/>
                <w:szCs w:val="24"/>
              </w:rPr>
              <w:t>MYE</w:t>
            </w:r>
            <w:proofErr w:type="spellEnd"/>
          </w:p>
        </w:tc>
      </w:tr>
      <w:tr w:rsidR="00D57275" w14:paraId="3E969302" w14:textId="77777777" w:rsidTr="008B2044">
        <w:tc>
          <w:tcPr>
            <w:tcW w:w="3165" w:type="dxa"/>
          </w:tcPr>
          <w:p w14:paraId="74570070" w14:textId="77777777" w:rsidR="00D57275" w:rsidRDefault="00D57275" w:rsidP="008B2044">
            <w:pPr>
              <w:spacing w:after="0" w:line="240" w:lineRule="auto"/>
              <w:rPr>
                <w:rFonts w:ascii="Arial" w:hAnsi="Arial" w:cs="Arial"/>
                <w:sz w:val="24"/>
                <w:szCs w:val="24"/>
              </w:rPr>
            </w:pPr>
            <w:r>
              <w:rPr>
                <w:rFonts w:ascii="Arial" w:hAnsi="Arial" w:cs="Arial"/>
                <w:sz w:val="24"/>
                <w:szCs w:val="24"/>
              </w:rPr>
              <w:t>International migration Net</w:t>
            </w:r>
          </w:p>
        </w:tc>
        <w:tc>
          <w:tcPr>
            <w:tcW w:w="1489" w:type="dxa"/>
          </w:tcPr>
          <w:p w14:paraId="48B8BBC7" w14:textId="3E9AA0AA" w:rsidR="00D57275" w:rsidRDefault="00D57275" w:rsidP="008B2044">
            <w:pPr>
              <w:spacing w:after="0" w:line="240" w:lineRule="auto"/>
              <w:jc w:val="center"/>
              <w:rPr>
                <w:rFonts w:ascii="Arial" w:hAnsi="Arial" w:cs="Arial"/>
                <w:sz w:val="24"/>
                <w:szCs w:val="24"/>
              </w:rPr>
            </w:pPr>
            <w:r>
              <w:rPr>
                <w:rFonts w:ascii="Arial" w:hAnsi="Arial" w:cs="Arial"/>
                <w:sz w:val="24"/>
                <w:szCs w:val="24"/>
              </w:rPr>
              <w:t>-1,953</w:t>
            </w:r>
          </w:p>
        </w:tc>
        <w:tc>
          <w:tcPr>
            <w:tcW w:w="1489" w:type="dxa"/>
          </w:tcPr>
          <w:p w14:paraId="72089B21" w14:textId="66C252C5" w:rsidR="00D57275" w:rsidRDefault="00D57275" w:rsidP="008B2044">
            <w:pPr>
              <w:spacing w:after="0" w:line="240" w:lineRule="auto"/>
              <w:jc w:val="center"/>
              <w:rPr>
                <w:rFonts w:ascii="Arial" w:hAnsi="Arial" w:cs="Arial"/>
                <w:sz w:val="24"/>
                <w:szCs w:val="24"/>
              </w:rPr>
            </w:pPr>
            <w:r>
              <w:rPr>
                <w:rFonts w:ascii="Arial" w:hAnsi="Arial" w:cs="Arial"/>
                <w:sz w:val="24"/>
                <w:szCs w:val="24"/>
              </w:rPr>
              <w:t>-834</w:t>
            </w:r>
          </w:p>
        </w:tc>
        <w:tc>
          <w:tcPr>
            <w:tcW w:w="1489" w:type="dxa"/>
          </w:tcPr>
          <w:p w14:paraId="4F343906" w14:textId="5F0B5C5C" w:rsidR="00D57275" w:rsidRDefault="00D57275" w:rsidP="008B2044">
            <w:pPr>
              <w:spacing w:after="0" w:line="240" w:lineRule="auto"/>
              <w:jc w:val="center"/>
              <w:rPr>
                <w:rFonts w:ascii="Arial" w:hAnsi="Arial" w:cs="Arial"/>
                <w:sz w:val="24"/>
                <w:szCs w:val="24"/>
              </w:rPr>
            </w:pPr>
            <w:r>
              <w:rPr>
                <w:rFonts w:ascii="Arial" w:hAnsi="Arial" w:cs="Arial"/>
                <w:sz w:val="24"/>
                <w:szCs w:val="24"/>
              </w:rPr>
              <w:t>-1,068</w:t>
            </w:r>
          </w:p>
        </w:tc>
        <w:tc>
          <w:tcPr>
            <w:tcW w:w="1489" w:type="dxa"/>
          </w:tcPr>
          <w:p w14:paraId="217C74B9" w14:textId="3499B7F9" w:rsidR="00D57275" w:rsidRDefault="00D57275" w:rsidP="008B2044">
            <w:pPr>
              <w:spacing w:after="0" w:line="240" w:lineRule="auto"/>
              <w:jc w:val="center"/>
              <w:rPr>
                <w:rFonts w:ascii="Arial" w:hAnsi="Arial" w:cs="Arial"/>
                <w:sz w:val="24"/>
                <w:szCs w:val="24"/>
              </w:rPr>
            </w:pPr>
            <w:r>
              <w:rPr>
                <w:rFonts w:ascii="Arial" w:hAnsi="Arial" w:cs="Arial"/>
                <w:sz w:val="24"/>
                <w:szCs w:val="24"/>
              </w:rPr>
              <w:t>-420</w:t>
            </w:r>
          </w:p>
        </w:tc>
      </w:tr>
      <w:bookmarkEnd w:id="0"/>
    </w:tbl>
    <w:p w14:paraId="48820507" w14:textId="77777777" w:rsidR="004916E6" w:rsidRPr="001F6392" w:rsidRDefault="004916E6" w:rsidP="004916E6">
      <w:pPr>
        <w:pStyle w:val="ListParagraph"/>
        <w:spacing w:after="0" w:line="240" w:lineRule="auto"/>
        <w:rPr>
          <w:rFonts w:ascii="Arial" w:hAnsi="Arial" w:cs="Arial"/>
          <w:sz w:val="24"/>
          <w:szCs w:val="24"/>
        </w:rPr>
      </w:pPr>
    </w:p>
    <w:p w14:paraId="35DF68F2" w14:textId="1E2C4464" w:rsidR="004916E6" w:rsidRPr="001F6392" w:rsidRDefault="004916E6" w:rsidP="004916E6">
      <w:pPr>
        <w:spacing w:after="0" w:line="240" w:lineRule="auto"/>
        <w:rPr>
          <w:rFonts w:ascii="Arial" w:hAnsi="Arial" w:cs="Arial"/>
          <w:sz w:val="24"/>
          <w:szCs w:val="24"/>
        </w:rPr>
      </w:pPr>
      <w:r w:rsidRPr="001F6392">
        <w:rPr>
          <w:rFonts w:ascii="Arial" w:hAnsi="Arial" w:cs="Arial"/>
          <w:sz w:val="24"/>
          <w:szCs w:val="24"/>
        </w:rPr>
        <w:t>The SNPP project a relatively steady picture regarding Harrow’s internal and international migration from 2018 to 2028</w:t>
      </w:r>
    </w:p>
    <w:p w14:paraId="56417D3F" w14:textId="296EC0B1" w:rsidR="004916E6" w:rsidRPr="001F6392" w:rsidRDefault="004916E6" w:rsidP="004916E6">
      <w:pPr>
        <w:spacing w:after="0" w:line="240" w:lineRule="auto"/>
        <w:rPr>
          <w:rFonts w:ascii="Arial" w:hAnsi="Arial" w:cs="Arial"/>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951"/>
        <w:gridCol w:w="951"/>
        <w:gridCol w:w="2605"/>
      </w:tblGrid>
      <w:tr w:rsidR="004916E6" w:rsidRPr="00A62D25" w14:paraId="3C56FBF7" w14:textId="77777777" w:rsidTr="00650A11">
        <w:trPr>
          <w:trHeight w:val="374"/>
        </w:trPr>
        <w:tc>
          <w:tcPr>
            <w:tcW w:w="0" w:type="auto"/>
            <w:shd w:val="clear" w:color="auto" w:fill="auto"/>
            <w:noWrap/>
            <w:vAlign w:val="center"/>
            <w:hideMark/>
          </w:tcPr>
          <w:p w14:paraId="052BFED4" w14:textId="77777777" w:rsidR="004916E6" w:rsidRPr="00A62D25" w:rsidRDefault="004916E6" w:rsidP="0018277E">
            <w:pPr>
              <w:spacing w:after="0" w:line="240" w:lineRule="auto"/>
              <w:rPr>
                <w:rFonts w:ascii="Arial" w:eastAsia="Times New Roman" w:hAnsi="Arial" w:cs="Arial"/>
                <w:b/>
                <w:bCs/>
                <w:color w:val="000000"/>
                <w:sz w:val="24"/>
                <w:szCs w:val="24"/>
                <w:lang w:eastAsia="en-GB"/>
              </w:rPr>
            </w:pPr>
            <w:r w:rsidRPr="00A62D25">
              <w:rPr>
                <w:rFonts w:ascii="Arial" w:eastAsia="Times New Roman" w:hAnsi="Arial" w:cs="Arial"/>
                <w:b/>
                <w:bCs/>
                <w:color w:val="000000"/>
                <w:sz w:val="24"/>
                <w:szCs w:val="24"/>
                <w:lang w:eastAsia="en-GB"/>
              </w:rPr>
              <w:t>Harrow</w:t>
            </w:r>
          </w:p>
        </w:tc>
        <w:tc>
          <w:tcPr>
            <w:tcW w:w="0" w:type="auto"/>
            <w:shd w:val="clear" w:color="auto" w:fill="auto"/>
            <w:vAlign w:val="center"/>
            <w:hideMark/>
          </w:tcPr>
          <w:p w14:paraId="03DBC923" w14:textId="77777777" w:rsidR="004916E6" w:rsidRPr="00A62D25" w:rsidRDefault="004916E6" w:rsidP="0018277E">
            <w:pPr>
              <w:spacing w:after="0" w:line="240" w:lineRule="auto"/>
              <w:jc w:val="center"/>
              <w:rPr>
                <w:rFonts w:ascii="Arial" w:eastAsia="Times New Roman" w:hAnsi="Arial" w:cs="Arial"/>
                <w:b/>
                <w:bCs/>
                <w:color w:val="000000"/>
                <w:sz w:val="24"/>
                <w:szCs w:val="24"/>
                <w:lang w:eastAsia="en-GB"/>
              </w:rPr>
            </w:pPr>
            <w:r w:rsidRPr="00A62D25">
              <w:rPr>
                <w:rFonts w:ascii="Arial" w:eastAsia="Times New Roman" w:hAnsi="Arial" w:cs="Arial"/>
                <w:b/>
                <w:bCs/>
                <w:color w:val="000000"/>
                <w:sz w:val="24"/>
                <w:szCs w:val="24"/>
                <w:lang w:eastAsia="en-GB"/>
              </w:rPr>
              <w:t>2018</w:t>
            </w:r>
          </w:p>
        </w:tc>
        <w:tc>
          <w:tcPr>
            <w:tcW w:w="0" w:type="auto"/>
            <w:shd w:val="clear" w:color="auto" w:fill="auto"/>
            <w:vAlign w:val="center"/>
            <w:hideMark/>
          </w:tcPr>
          <w:p w14:paraId="21BFE715" w14:textId="77777777" w:rsidR="004916E6" w:rsidRPr="00A62D25" w:rsidRDefault="004916E6" w:rsidP="0018277E">
            <w:pPr>
              <w:spacing w:after="0" w:line="240" w:lineRule="auto"/>
              <w:jc w:val="center"/>
              <w:rPr>
                <w:rFonts w:ascii="Arial" w:eastAsia="Times New Roman" w:hAnsi="Arial" w:cs="Arial"/>
                <w:b/>
                <w:bCs/>
                <w:color w:val="000000"/>
                <w:sz w:val="24"/>
                <w:szCs w:val="24"/>
                <w:lang w:eastAsia="en-GB"/>
              </w:rPr>
            </w:pPr>
            <w:r w:rsidRPr="00A62D25">
              <w:rPr>
                <w:rFonts w:ascii="Arial" w:eastAsia="Times New Roman" w:hAnsi="Arial" w:cs="Arial"/>
                <w:b/>
                <w:bCs/>
                <w:color w:val="000000"/>
                <w:sz w:val="24"/>
                <w:szCs w:val="24"/>
                <w:lang w:eastAsia="en-GB"/>
              </w:rPr>
              <w:t>2028</w:t>
            </w:r>
          </w:p>
        </w:tc>
        <w:tc>
          <w:tcPr>
            <w:tcW w:w="0" w:type="auto"/>
            <w:shd w:val="clear" w:color="auto" w:fill="auto"/>
            <w:noWrap/>
            <w:vAlign w:val="center"/>
            <w:hideMark/>
          </w:tcPr>
          <w:p w14:paraId="5A10E047" w14:textId="6C8F18B3" w:rsidR="004916E6" w:rsidRPr="00A62D25" w:rsidRDefault="004916E6" w:rsidP="0018277E">
            <w:pPr>
              <w:spacing w:after="0" w:line="240" w:lineRule="auto"/>
              <w:jc w:val="center"/>
              <w:rPr>
                <w:rFonts w:ascii="Arial" w:eastAsia="Times New Roman" w:hAnsi="Arial" w:cs="Arial"/>
                <w:b/>
                <w:bCs/>
                <w:color w:val="000000"/>
                <w:sz w:val="24"/>
                <w:szCs w:val="24"/>
                <w:lang w:eastAsia="en-GB"/>
              </w:rPr>
            </w:pPr>
            <w:r w:rsidRPr="00A62D25">
              <w:rPr>
                <w:rFonts w:ascii="Arial" w:eastAsia="Times New Roman" w:hAnsi="Arial" w:cs="Arial"/>
                <w:b/>
                <w:bCs/>
                <w:color w:val="000000"/>
                <w:sz w:val="24"/>
                <w:szCs w:val="24"/>
                <w:lang w:eastAsia="en-GB"/>
              </w:rPr>
              <w:t>Diff</w:t>
            </w:r>
            <w:r w:rsidR="00BF4DEB" w:rsidRPr="00A62D25">
              <w:rPr>
                <w:rFonts w:ascii="Arial" w:eastAsia="Times New Roman" w:hAnsi="Arial" w:cs="Arial"/>
                <w:b/>
                <w:bCs/>
                <w:color w:val="000000"/>
                <w:sz w:val="24"/>
                <w:szCs w:val="24"/>
                <w:lang w:eastAsia="en-GB"/>
              </w:rPr>
              <w:t>erence</w:t>
            </w:r>
            <w:r w:rsidRPr="00A62D25">
              <w:rPr>
                <w:rFonts w:ascii="Arial" w:eastAsia="Times New Roman" w:hAnsi="Arial" w:cs="Arial"/>
                <w:b/>
                <w:bCs/>
                <w:color w:val="000000"/>
                <w:sz w:val="24"/>
                <w:szCs w:val="24"/>
                <w:lang w:eastAsia="en-GB"/>
              </w:rPr>
              <w:t xml:space="preserve"> 2018-2028</w:t>
            </w:r>
          </w:p>
        </w:tc>
      </w:tr>
      <w:tr w:rsidR="004916E6" w:rsidRPr="00A62D25" w14:paraId="762DB597" w14:textId="77777777" w:rsidTr="00650A11">
        <w:trPr>
          <w:trHeight w:val="374"/>
        </w:trPr>
        <w:tc>
          <w:tcPr>
            <w:tcW w:w="0" w:type="auto"/>
            <w:shd w:val="clear" w:color="auto" w:fill="auto"/>
            <w:vAlign w:val="center"/>
            <w:hideMark/>
          </w:tcPr>
          <w:p w14:paraId="700CF45D" w14:textId="77777777" w:rsidR="004916E6" w:rsidRPr="00A62D25" w:rsidRDefault="004916E6" w:rsidP="0018277E">
            <w:pPr>
              <w:spacing w:after="0" w:line="240" w:lineRule="auto"/>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All migration net</w:t>
            </w:r>
          </w:p>
        </w:tc>
        <w:tc>
          <w:tcPr>
            <w:tcW w:w="0" w:type="auto"/>
            <w:shd w:val="clear" w:color="auto" w:fill="auto"/>
            <w:vAlign w:val="center"/>
            <w:hideMark/>
          </w:tcPr>
          <w:p w14:paraId="3C07987C" w14:textId="77777777" w:rsidR="004916E6" w:rsidRPr="00A62D25" w:rsidRDefault="004916E6" w:rsidP="0018277E">
            <w:pPr>
              <w:spacing w:after="0" w:line="240" w:lineRule="auto"/>
              <w:jc w:val="center"/>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-1,505</w:t>
            </w:r>
          </w:p>
        </w:tc>
        <w:tc>
          <w:tcPr>
            <w:tcW w:w="0" w:type="auto"/>
            <w:shd w:val="clear" w:color="auto" w:fill="auto"/>
            <w:vAlign w:val="center"/>
            <w:hideMark/>
          </w:tcPr>
          <w:p w14:paraId="0A719AE7" w14:textId="77777777" w:rsidR="004916E6" w:rsidRPr="00A62D25" w:rsidRDefault="004916E6" w:rsidP="0018277E">
            <w:pPr>
              <w:spacing w:after="0" w:line="240" w:lineRule="auto"/>
              <w:jc w:val="center"/>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-1,257</w:t>
            </w:r>
          </w:p>
        </w:tc>
        <w:tc>
          <w:tcPr>
            <w:tcW w:w="0" w:type="auto"/>
            <w:shd w:val="clear" w:color="auto" w:fill="auto"/>
            <w:noWrap/>
            <w:vAlign w:val="center"/>
            <w:hideMark/>
          </w:tcPr>
          <w:p w14:paraId="435038D4" w14:textId="77777777" w:rsidR="004916E6" w:rsidRPr="00A62D25" w:rsidRDefault="004916E6" w:rsidP="0018277E">
            <w:pPr>
              <w:spacing w:after="0" w:line="240" w:lineRule="auto"/>
              <w:jc w:val="center"/>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248</w:t>
            </w:r>
          </w:p>
        </w:tc>
      </w:tr>
      <w:tr w:rsidR="004916E6" w:rsidRPr="00A62D25" w14:paraId="40F5A4D2" w14:textId="77777777" w:rsidTr="00650A11">
        <w:trPr>
          <w:trHeight w:val="374"/>
        </w:trPr>
        <w:tc>
          <w:tcPr>
            <w:tcW w:w="0" w:type="auto"/>
            <w:shd w:val="clear" w:color="auto" w:fill="auto"/>
            <w:vAlign w:val="center"/>
          </w:tcPr>
          <w:p w14:paraId="529C47FB" w14:textId="77777777" w:rsidR="004916E6" w:rsidRPr="00A62D25" w:rsidRDefault="004916E6" w:rsidP="0018277E">
            <w:pPr>
              <w:spacing w:after="0" w:line="240" w:lineRule="auto"/>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Internal migration in</w:t>
            </w:r>
          </w:p>
        </w:tc>
        <w:tc>
          <w:tcPr>
            <w:tcW w:w="0" w:type="auto"/>
            <w:shd w:val="clear" w:color="auto" w:fill="auto"/>
            <w:vAlign w:val="center"/>
          </w:tcPr>
          <w:p w14:paraId="50825833" w14:textId="77777777" w:rsidR="004916E6" w:rsidRPr="00A62D25" w:rsidRDefault="004916E6" w:rsidP="0018277E">
            <w:pPr>
              <w:spacing w:after="0" w:line="240" w:lineRule="auto"/>
              <w:jc w:val="center"/>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15,469</w:t>
            </w:r>
          </w:p>
        </w:tc>
        <w:tc>
          <w:tcPr>
            <w:tcW w:w="0" w:type="auto"/>
            <w:shd w:val="clear" w:color="auto" w:fill="auto"/>
            <w:vAlign w:val="center"/>
          </w:tcPr>
          <w:p w14:paraId="337E8B92" w14:textId="77777777" w:rsidR="004916E6" w:rsidRPr="00A62D25" w:rsidRDefault="004916E6" w:rsidP="0018277E">
            <w:pPr>
              <w:spacing w:after="0" w:line="240" w:lineRule="auto"/>
              <w:jc w:val="center"/>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15,420</w:t>
            </w:r>
          </w:p>
        </w:tc>
        <w:tc>
          <w:tcPr>
            <w:tcW w:w="0" w:type="auto"/>
            <w:shd w:val="clear" w:color="auto" w:fill="auto"/>
            <w:noWrap/>
            <w:vAlign w:val="center"/>
          </w:tcPr>
          <w:p w14:paraId="18BD4139" w14:textId="77777777" w:rsidR="004916E6" w:rsidRPr="00A62D25" w:rsidRDefault="004916E6" w:rsidP="0018277E">
            <w:pPr>
              <w:spacing w:after="0" w:line="240" w:lineRule="auto"/>
              <w:jc w:val="center"/>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-49</w:t>
            </w:r>
          </w:p>
        </w:tc>
      </w:tr>
      <w:tr w:rsidR="004916E6" w:rsidRPr="00A62D25" w14:paraId="57AAFB1D" w14:textId="77777777" w:rsidTr="00650A11">
        <w:trPr>
          <w:trHeight w:val="374"/>
        </w:trPr>
        <w:tc>
          <w:tcPr>
            <w:tcW w:w="0" w:type="auto"/>
            <w:shd w:val="clear" w:color="auto" w:fill="auto"/>
            <w:vAlign w:val="center"/>
          </w:tcPr>
          <w:p w14:paraId="2AC0D8DE" w14:textId="77777777" w:rsidR="004916E6" w:rsidRPr="00A62D25" w:rsidRDefault="004916E6" w:rsidP="0018277E">
            <w:pPr>
              <w:spacing w:after="0" w:line="240" w:lineRule="auto"/>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Internal migration out</w:t>
            </w:r>
          </w:p>
        </w:tc>
        <w:tc>
          <w:tcPr>
            <w:tcW w:w="0" w:type="auto"/>
            <w:shd w:val="clear" w:color="auto" w:fill="auto"/>
            <w:vAlign w:val="center"/>
          </w:tcPr>
          <w:p w14:paraId="434C888D" w14:textId="77777777" w:rsidR="004916E6" w:rsidRPr="00A62D25" w:rsidRDefault="004916E6" w:rsidP="0018277E">
            <w:pPr>
              <w:spacing w:after="0" w:line="240" w:lineRule="auto"/>
              <w:jc w:val="center"/>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19,893</w:t>
            </w:r>
          </w:p>
        </w:tc>
        <w:tc>
          <w:tcPr>
            <w:tcW w:w="0" w:type="auto"/>
            <w:shd w:val="clear" w:color="auto" w:fill="auto"/>
            <w:vAlign w:val="center"/>
          </w:tcPr>
          <w:p w14:paraId="6A1F6322" w14:textId="77777777" w:rsidR="004916E6" w:rsidRPr="00A62D25" w:rsidRDefault="004916E6" w:rsidP="0018277E">
            <w:pPr>
              <w:spacing w:after="0" w:line="240" w:lineRule="auto"/>
              <w:jc w:val="center"/>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18,952</w:t>
            </w:r>
          </w:p>
        </w:tc>
        <w:tc>
          <w:tcPr>
            <w:tcW w:w="0" w:type="auto"/>
            <w:shd w:val="clear" w:color="auto" w:fill="auto"/>
            <w:noWrap/>
            <w:vAlign w:val="center"/>
          </w:tcPr>
          <w:p w14:paraId="512B0E5B" w14:textId="77777777" w:rsidR="004916E6" w:rsidRPr="00A62D25" w:rsidRDefault="004916E6" w:rsidP="0018277E">
            <w:pPr>
              <w:spacing w:after="0" w:line="240" w:lineRule="auto"/>
              <w:jc w:val="center"/>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-941</w:t>
            </w:r>
          </w:p>
        </w:tc>
      </w:tr>
      <w:tr w:rsidR="004916E6" w:rsidRPr="00A62D25" w14:paraId="2C3542DF" w14:textId="77777777" w:rsidTr="00650A11">
        <w:trPr>
          <w:trHeight w:val="374"/>
        </w:trPr>
        <w:tc>
          <w:tcPr>
            <w:tcW w:w="0" w:type="auto"/>
            <w:shd w:val="clear" w:color="auto" w:fill="auto"/>
            <w:vAlign w:val="center"/>
          </w:tcPr>
          <w:p w14:paraId="55707634" w14:textId="77777777" w:rsidR="004916E6" w:rsidRPr="00A62D25" w:rsidRDefault="004916E6" w:rsidP="0018277E">
            <w:pPr>
              <w:spacing w:after="0" w:line="240" w:lineRule="auto"/>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International migration in</w:t>
            </w:r>
          </w:p>
        </w:tc>
        <w:tc>
          <w:tcPr>
            <w:tcW w:w="0" w:type="auto"/>
            <w:shd w:val="clear" w:color="auto" w:fill="auto"/>
            <w:vAlign w:val="center"/>
          </w:tcPr>
          <w:p w14:paraId="56738D98" w14:textId="77777777" w:rsidR="004916E6" w:rsidRPr="00A62D25" w:rsidRDefault="004916E6" w:rsidP="0018277E">
            <w:pPr>
              <w:spacing w:after="0" w:line="240" w:lineRule="auto"/>
              <w:jc w:val="center"/>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4,900</w:t>
            </w:r>
          </w:p>
        </w:tc>
        <w:tc>
          <w:tcPr>
            <w:tcW w:w="0" w:type="auto"/>
            <w:shd w:val="clear" w:color="auto" w:fill="auto"/>
            <w:vAlign w:val="center"/>
          </w:tcPr>
          <w:p w14:paraId="2A0BDEDB" w14:textId="77777777" w:rsidR="004916E6" w:rsidRPr="00A62D25" w:rsidRDefault="004916E6" w:rsidP="0018277E">
            <w:pPr>
              <w:spacing w:after="0" w:line="240" w:lineRule="auto"/>
              <w:jc w:val="center"/>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4,094</w:t>
            </w:r>
          </w:p>
        </w:tc>
        <w:tc>
          <w:tcPr>
            <w:tcW w:w="0" w:type="auto"/>
            <w:shd w:val="clear" w:color="auto" w:fill="auto"/>
            <w:noWrap/>
            <w:vAlign w:val="center"/>
          </w:tcPr>
          <w:p w14:paraId="24713AD9" w14:textId="77777777" w:rsidR="004916E6" w:rsidRPr="00A62D25" w:rsidRDefault="004916E6" w:rsidP="0018277E">
            <w:pPr>
              <w:spacing w:after="0" w:line="240" w:lineRule="auto"/>
              <w:jc w:val="center"/>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-806</w:t>
            </w:r>
          </w:p>
        </w:tc>
      </w:tr>
      <w:tr w:rsidR="004916E6" w:rsidRPr="00A62D25" w14:paraId="7738D46C" w14:textId="77777777" w:rsidTr="00650A11">
        <w:trPr>
          <w:trHeight w:val="374"/>
        </w:trPr>
        <w:tc>
          <w:tcPr>
            <w:tcW w:w="0" w:type="auto"/>
            <w:shd w:val="clear" w:color="auto" w:fill="auto"/>
            <w:vAlign w:val="center"/>
          </w:tcPr>
          <w:p w14:paraId="12533590" w14:textId="77777777" w:rsidR="004916E6" w:rsidRPr="00A62D25" w:rsidRDefault="004916E6" w:rsidP="0018277E">
            <w:pPr>
              <w:spacing w:after="0" w:line="240" w:lineRule="auto"/>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International migration out</w:t>
            </w:r>
          </w:p>
        </w:tc>
        <w:tc>
          <w:tcPr>
            <w:tcW w:w="0" w:type="auto"/>
            <w:shd w:val="clear" w:color="auto" w:fill="auto"/>
            <w:vAlign w:val="center"/>
          </w:tcPr>
          <w:p w14:paraId="1D3A92E8" w14:textId="77777777" w:rsidR="004916E6" w:rsidRPr="00A62D25" w:rsidRDefault="004916E6" w:rsidP="0018277E">
            <w:pPr>
              <w:spacing w:after="0" w:line="240" w:lineRule="auto"/>
              <w:jc w:val="center"/>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1,892</w:t>
            </w:r>
          </w:p>
        </w:tc>
        <w:tc>
          <w:tcPr>
            <w:tcW w:w="0" w:type="auto"/>
            <w:shd w:val="clear" w:color="auto" w:fill="auto"/>
            <w:vAlign w:val="center"/>
          </w:tcPr>
          <w:p w14:paraId="6B228D98" w14:textId="77777777" w:rsidR="004916E6" w:rsidRPr="00A62D25" w:rsidRDefault="004916E6" w:rsidP="0018277E">
            <w:pPr>
              <w:spacing w:after="0" w:line="240" w:lineRule="auto"/>
              <w:jc w:val="center"/>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1,725</w:t>
            </w:r>
          </w:p>
        </w:tc>
        <w:tc>
          <w:tcPr>
            <w:tcW w:w="0" w:type="auto"/>
            <w:shd w:val="clear" w:color="auto" w:fill="auto"/>
            <w:noWrap/>
            <w:vAlign w:val="center"/>
          </w:tcPr>
          <w:p w14:paraId="279EECB7" w14:textId="77777777" w:rsidR="004916E6" w:rsidRPr="00A62D25" w:rsidRDefault="004916E6" w:rsidP="0018277E">
            <w:pPr>
              <w:spacing w:after="0" w:line="240" w:lineRule="auto"/>
              <w:jc w:val="center"/>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-167</w:t>
            </w:r>
          </w:p>
        </w:tc>
      </w:tr>
      <w:tr w:rsidR="004916E6" w:rsidRPr="00A62D25" w14:paraId="3A21EB09" w14:textId="77777777" w:rsidTr="00650A11">
        <w:trPr>
          <w:trHeight w:val="374"/>
        </w:trPr>
        <w:tc>
          <w:tcPr>
            <w:tcW w:w="0" w:type="auto"/>
            <w:shd w:val="clear" w:color="auto" w:fill="auto"/>
            <w:vAlign w:val="center"/>
          </w:tcPr>
          <w:p w14:paraId="5A3A3861" w14:textId="77777777" w:rsidR="004916E6" w:rsidRPr="00A62D25" w:rsidRDefault="004916E6" w:rsidP="0018277E">
            <w:pPr>
              <w:spacing w:after="0" w:line="240" w:lineRule="auto"/>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Cross border migration in</w:t>
            </w:r>
          </w:p>
        </w:tc>
        <w:tc>
          <w:tcPr>
            <w:tcW w:w="0" w:type="auto"/>
            <w:shd w:val="clear" w:color="auto" w:fill="auto"/>
            <w:vAlign w:val="center"/>
          </w:tcPr>
          <w:p w14:paraId="0691D8E7" w14:textId="77777777" w:rsidR="004916E6" w:rsidRPr="00A62D25" w:rsidRDefault="004916E6" w:rsidP="0018277E">
            <w:pPr>
              <w:spacing w:after="0" w:line="240" w:lineRule="auto"/>
              <w:jc w:val="center"/>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244</w:t>
            </w:r>
          </w:p>
        </w:tc>
        <w:tc>
          <w:tcPr>
            <w:tcW w:w="0" w:type="auto"/>
            <w:shd w:val="clear" w:color="auto" w:fill="auto"/>
            <w:vAlign w:val="center"/>
          </w:tcPr>
          <w:p w14:paraId="243ACC78" w14:textId="77777777" w:rsidR="004916E6" w:rsidRPr="00A62D25" w:rsidRDefault="004916E6" w:rsidP="0018277E">
            <w:pPr>
              <w:spacing w:after="0" w:line="240" w:lineRule="auto"/>
              <w:jc w:val="center"/>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237</w:t>
            </w:r>
          </w:p>
        </w:tc>
        <w:tc>
          <w:tcPr>
            <w:tcW w:w="0" w:type="auto"/>
            <w:shd w:val="clear" w:color="auto" w:fill="auto"/>
            <w:noWrap/>
            <w:vAlign w:val="center"/>
          </w:tcPr>
          <w:p w14:paraId="7EC2D40F" w14:textId="77777777" w:rsidR="004916E6" w:rsidRPr="00A62D25" w:rsidRDefault="004916E6" w:rsidP="0018277E">
            <w:pPr>
              <w:spacing w:after="0" w:line="240" w:lineRule="auto"/>
              <w:jc w:val="center"/>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-7</w:t>
            </w:r>
          </w:p>
        </w:tc>
      </w:tr>
      <w:tr w:rsidR="004916E6" w:rsidRPr="00A62D25" w14:paraId="2ADAE2CB" w14:textId="77777777" w:rsidTr="00650A11">
        <w:trPr>
          <w:trHeight w:val="374"/>
        </w:trPr>
        <w:tc>
          <w:tcPr>
            <w:tcW w:w="0" w:type="auto"/>
            <w:shd w:val="clear" w:color="auto" w:fill="auto"/>
            <w:vAlign w:val="center"/>
          </w:tcPr>
          <w:p w14:paraId="42429B06" w14:textId="77777777" w:rsidR="004916E6" w:rsidRPr="00A62D25" w:rsidRDefault="004916E6" w:rsidP="0018277E">
            <w:pPr>
              <w:spacing w:after="0" w:line="240" w:lineRule="auto"/>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Cross border migration out</w:t>
            </w:r>
          </w:p>
        </w:tc>
        <w:tc>
          <w:tcPr>
            <w:tcW w:w="0" w:type="auto"/>
            <w:shd w:val="clear" w:color="auto" w:fill="auto"/>
            <w:vAlign w:val="center"/>
          </w:tcPr>
          <w:p w14:paraId="10421E75" w14:textId="77777777" w:rsidR="004916E6" w:rsidRPr="00A62D25" w:rsidRDefault="004916E6" w:rsidP="0018277E">
            <w:pPr>
              <w:spacing w:after="0" w:line="240" w:lineRule="auto"/>
              <w:jc w:val="center"/>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334</w:t>
            </w:r>
          </w:p>
        </w:tc>
        <w:tc>
          <w:tcPr>
            <w:tcW w:w="0" w:type="auto"/>
            <w:shd w:val="clear" w:color="auto" w:fill="auto"/>
            <w:vAlign w:val="center"/>
          </w:tcPr>
          <w:p w14:paraId="539729D9" w14:textId="77777777" w:rsidR="004916E6" w:rsidRPr="00A62D25" w:rsidRDefault="004916E6" w:rsidP="0018277E">
            <w:pPr>
              <w:spacing w:after="0" w:line="240" w:lineRule="auto"/>
              <w:jc w:val="center"/>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332</w:t>
            </w:r>
          </w:p>
        </w:tc>
        <w:tc>
          <w:tcPr>
            <w:tcW w:w="0" w:type="auto"/>
            <w:shd w:val="clear" w:color="auto" w:fill="auto"/>
            <w:noWrap/>
            <w:vAlign w:val="center"/>
          </w:tcPr>
          <w:p w14:paraId="692D3E46" w14:textId="77777777" w:rsidR="004916E6" w:rsidRPr="00A62D25" w:rsidRDefault="004916E6" w:rsidP="0018277E">
            <w:pPr>
              <w:spacing w:after="0" w:line="240" w:lineRule="auto"/>
              <w:jc w:val="center"/>
              <w:rPr>
                <w:rFonts w:ascii="Arial" w:eastAsia="Times New Roman" w:hAnsi="Arial" w:cs="Arial"/>
                <w:color w:val="000000"/>
                <w:sz w:val="24"/>
                <w:szCs w:val="24"/>
                <w:lang w:eastAsia="en-GB"/>
              </w:rPr>
            </w:pPr>
            <w:r w:rsidRPr="00A62D25">
              <w:rPr>
                <w:rFonts w:ascii="Arial" w:eastAsia="Times New Roman" w:hAnsi="Arial" w:cs="Arial"/>
                <w:color w:val="000000"/>
                <w:sz w:val="24"/>
                <w:szCs w:val="24"/>
                <w:lang w:eastAsia="en-GB"/>
              </w:rPr>
              <w:t>-2</w:t>
            </w:r>
          </w:p>
        </w:tc>
      </w:tr>
    </w:tbl>
    <w:p w14:paraId="2A3B5F5D" w14:textId="77777777" w:rsidR="00051C55" w:rsidRDefault="00051C55" w:rsidP="004F0D5F">
      <w:pPr>
        <w:spacing w:after="0" w:line="240" w:lineRule="auto"/>
        <w:rPr>
          <w:rFonts w:ascii="Arial" w:hAnsi="Arial" w:cs="Arial"/>
          <w:b/>
        </w:rPr>
      </w:pPr>
    </w:p>
    <w:p w14:paraId="42C62F8D" w14:textId="7EC1C368" w:rsidR="00051C55" w:rsidRDefault="00051C55" w:rsidP="00BA129A">
      <w:pPr>
        <w:spacing w:after="0" w:line="240" w:lineRule="auto"/>
        <w:rPr>
          <w:rFonts w:ascii="Arial" w:hAnsi="Arial" w:cs="Arial"/>
          <w:b/>
          <w:sz w:val="24"/>
          <w:szCs w:val="24"/>
        </w:rPr>
      </w:pPr>
      <w:r w:rsidRPr="00BA129A">
        <w:rPr>
          <w:rFonts w:ascii="Arial" w:hAnsi="Arial" w:cs="Arial"/>
          <w:b/>
          <w:sz w:val="24"/>
          <w:szCs w:val="24"/>
        </w:rPr>
        <w:t>Migration by age</w:t>
      </w:r>
    </w:p>
    <w:p w14:paraId="6A725634" w14:textId="77777777" w:rsidR="00D57275" w:rsidRPr="00BA129A" w:rsidRDefault="00D57275" w:rsidP="00BA129A">
      <w:pPr>
        <w:spacing w:after="0" w:line="240" w:lineRule="auto"/>
        <w:rPr>
          <w:rFonts w:ascii="Arial" w:hAnsi="Arial" w:cs="Arial"/>
          <w:b/>
          <w:sz w:val="24"/>
          <w:szCs w:val="24"/>
        </w:rPr>
      </w:pPr>
    </w:p>
    <w:p w14:paraId="1E4F0843" w14:textId="40A948D2" w:rsidR="008125A1" w:rsidRPr="00BA129A" w:rsidRDefault="00577803" w:rsidP="00BA129A">
      <w:pPr>
        <w:spacing w:after="0" w:line="240" w:lineRule="auto"/>
        <w:rPr>
          <w:rFonts w:ascii="Arial" w:hAnsi="Arial" w:cs="Arial"/>
          <w:sz w:val="24"/>
          <w:szCs w:val="24"/>
        </w:rPr>
      </w:pPr>
      <w:r w:rsidRPr="00657C28">
        <w:rPr>
          <w:rFonts w:ascii="Arial" w:hAnsi="Arial" w:cs="Arial"/>
          <w:sz w:val="24"/>
          <w:szCs w:val="24"/>
        </w:rPr>
        <w:t>The ONS SNPPs contain migration projections by age.</w:t>
      </w:r>
      <w:r>
        <w:rPr>
          <w:rFonts w:ascii="Arial" w:hAnsi="Arial" w:cs="Arial"/>
          <w:sz w:val="24"/>
          <w:szCs w:val="24"/>
        </w:rPr>
        <w:t xml:space="preserve">  </w:t>
      </w:r>
      <w:r w:rsidR="008125A1" w:rsidRPr="00BA129A">
        <w:rPr>
          <w:rFonts w:ascii="Arial" w:hAnsi="Arial" w:cs="Arial"/>
          <w:sz w:val="24"/>
          <w:szCs w:val="24"/>
        </w:rPr>
        <w:t xml:space="preserve">Harrow’s net internal migration is overall projecting a loss of children of the following age ranges 0 to 4, 5 to 9, 10 to 14 and 15 to 19.  There is projected gain for young people of the age range 20 to 24.  </w:t>
      </w:r>
    </w:p>
    <w:p w14:paraId="37BBE000" w14:textId="77777777" w:rsidR="004F0D5F" w:rsidRPr="00770090" w:rsidRDefault="004F0D5F" w:rsidP="004F0D5F">
      <w:pPr>
        <w:spacing w:after="0" w:line="240" w:lineRule="auto"/>
        <w:rPr>
          <w:rFonts w:ascii="Arial" w:hAnsi="Arial" w:cs="Arial"/>
          <w:b/>
        </w:rPr>
      </w:pPr>
    </w:p>
    <w:tbl>
      <w:tblPr>
        <w:tblW w:w="6940" w:type="dxa"/>
        <w:tblInd w:w="93" w:type="dxa"/>
        <w:tblLook w:val="04A0" w:firstRow="1" w:lastRow="0" w:firstColumn="1" w:lastColumn="0" w:noHBand="0" w:noVBand="1"/>
      </w:tblPr>
      <w:tblGrid>
        <w:gridCol w:w="1643"/>
        <w:gridCol w:w="1080"/>
        <w:gridCol w:w="1080"/>
        <w:gridCol w:w="1080"/>
        <w:gridCol w:w="2057"/>
      </w:tblGrid>
      <w:tr w:rsidR="00051C55" w:rsidRPr="00BA129A" w14:paraId="1989E551" w14:textId="77777777" w:rsidTr="00502340">
        <w:trPr>
          <w:trHeight w:val="285"/>
        </w:trPr>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7B71C" w14:textId="77777777" w:rsidR="00051C55" w:rsidRPr="00BA129A" w:rsidRDefault="00051C55" w:rsidP="00650A11">
            <w:pPr>
              <w:spacing w:after="0" w:line="240" w:lineRule="auto"/>
              <w:rPr>
                <w:rFonts w:ascii="Arial" w:eastAsia="Times New Roman" w:hAnsi="Arial" w:cs="Arial"/>
                <w:b/>
                <w:color w:val="000000"/>
                <w:sz w:val="24"/>
                <w:szCs w:val="24"/>
                <w:lang w:eastAsia="en-GB"/>
              </w:rPr>
            </w:pPr>
            <w:r w:rsidRPr="00BA129A">
              <w:rPr>
                <w:rFonts w:ascii="Arial" w:eastAsia="Times New Roman" w:hAnsi="Arial" w:cs="Arial"/>
                <w:b/>
                <w:color w:val="000000"/>
                <w:sz w:val="24"/>
                <w:szCs w:val="24"/>
                <w:lang w:eastAsia="en-GB"/>
              </w:rPr>
              <w:t>Internal net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5C876D5" w14:textId="77777777" w:rsidR="00051C55" w:rsidRPr="00BA129A" w:rsidRDefault="00051C55" w:rsidP="00650A11">
            <w:pPr>
              <w:spacing w:after="0" w:line="240" w:lineRule="auto"/>
              <w:jc w:val="center"/>
              <w:rPr>
                <w:rFonts w:ascii="Arial" w:eastAsia="Times New Roman" w:hAnsi="Arial" w:cs="Arial"/>
                <w:b/>
                <w:color w:val="000000"/>
                <w:sz w:val="24"/>
                <w:szCs w:val="24"/>
                <w:lang w:eastAsia="en-GB"/>
              </w:rPr>
            </w:pPr>
            <w:r w:rsidRPr="00BA129A">
              <w:rPr>
                <w:rFonts w:ascii="Arial" w:eastAsia="Times New Roman" w:hAnsi="Arial" w:cs="Arial"/>
                <w:b/>
                <w:color w:val="000000"/>
                <w:sz w:val="24"/>
                <w:szCs w:val="24"/>
                <w:lang w:eastAsia="en-GB"/>
              </w:rPr>
              <w:t>2019</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6836BB1" w14:textId="77777777" w:rsidR="00051C55" w:rsidRPr="00BA129A" w:rsidRDefault="00051C55" w:rsidP="00650A11">
            <w:pPr>
              <w:spacing w:after="0" w:line="240" w:lineRule="auto"/>
              <w:jc w:val="center"/>
              <w:rPr>
                <w:rFonts w:ascii="Arial" w:eastAsia="Times New Roman" w:hAnsi="Arial" w:cs="Arial"/>
                <w:b/>
                <w:color w:val="000000"/>
                <w:sz w:val="24"/>
                <w:szCs w:val="24"/>
                <w:lang w:eastAsia="en-GB"/>
              </w:rPr>
            </w:pPr>
            <w:r w:rsidRPr="00BA129A">
              <w:rPr>
                <w:rFonts w:ascii="Arial" w:eastAsia="Times New Roman" w:hAnsi="Arial" w:cs="Arial"/>
                <w:b/>
                <w:color w:val="000000"/>
                <w:sz w:val="24"/>
                <w:szCs w:val="24"/>
                <w:lang w:eastAsia="en-GB"/>
              </w:rPr>
              <w:t>2023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AC76CD9" w14:textId="77777777" w:rsidR="00051C55" w:rsidRPr="00BA129A" w:rsidRDefault="00051C55" w:rsidP="00650A11">
            <w:pPr>
              <w:spacing w:after="0" w:line="240" w:lineRule="auto"/>
              <w:jc w:val="center"/>
              <w:rPr>
                <w:rFonts w:ascii="Arial" w:eastAsia="Times New Roman" w:hAnsi="Arial" w:cs="Arial"/>
                <w:b/>
                <w:color w:val="000000"/>
                <w:sz w:val="24"/>
                <w:szCs w:val="24"/>
                <w:lang w:eastAsia="en-GB"/>
              </w:rPr>
            </w:pPr>
            <w:r w:rsidRPr="00BA129A">
              <w:rPr>
                <w:rFonts w:ascii="Arial" w:eastAsia="Times New Roman" w:hAnsi="Arial" w:cs="Arial"/>
                <w:b/>
                <w:color w:val="000000"/>
                <w:sz w:val="24"/>
                <w:szCs w:val="24"/>
                <w:lang w:eastAsia="en-GB"/>
              </w:rPr>
              <w:t>2028</w:t>
            </w:r>
          </w:p>
        </w:tc>
        <w:tc>
          <w:tcPr>
            <w:tcW w:w="2057" w:type="dxa"/>
            <w:tcBorders>
              <w:top w:val="single" w:sz="4" w:space="0" w:color="auto"/>
              <w:left w:val="nil"/>
              <w:bottom w:val="single" w:sz="4" w:space="0" w:color="auto"/>
              <w:right w:val="single" w:sz="4" w:space="0" w:color="auto"/>
            </w:tcBorders>
          </w:tcPr>
          <w:p w14:paraId="3FA78AF0" w14:textId="77777777" w:rsidR="00051C55" w:rsidRPr="00BA129A" w:rsidRDefault="00051C55" w:rsidP="00EA1CD5">
            <w:pPr>
              <w:spacing w:after="0" w:line="240" w:lineRule="auto"/>
              <w:rPr>
                <w:rFonts w:ascii="Arial" w:eastAsia="Times New Roman" w:hAnsi="Arial" w:cs="Arial"/>
                <w:b/>
                <w:color w:val="000000"/>
                <w:sz w:val="24"/>
                <w:szCs w:val="24"/>
                <w:lang w:eastAsia="en-GB"/>
              </w:rPr>
            </w:pPr>
            <w:r w:rsidRPr="00BA129A">
              <w:rPr>
                <w:rFonts w:ascii="Arial" w:eastAsia="Times New Roman" w:hAnsi="Arial" w:cs="Arial"/>
                <w:b/>
                <w:color w:val="000000"/>
                <w:sz w:val="24"/>
                <w:szCs w:val="24"/>
                <w:lang w:eastAsia="en-GB"/>
              </w:rPr>
              <w:t>Direction</w:t>
            </w:r>
          </w:p>
        </w:tc>
      </w:tr>
      <w:tr w:rsidR="00051C55" w:rsidRPr="00BA129A" w14:paraId="1A8F17AB" w14:textId="77777777" w:rsidTr="00502340">
        <w:trPr>
          <w:trHeight w:val="285"/>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5A2F1CE1" w14:textId="77777777" w:rsidR="00051C55" w:rsidRPr="00BA129A" w:rsidRDefault="00051C55" w:rsidP="00650A11">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0-4</w:t>
            </w:r>
          </w:p>
        </w:tc>
        <w:tc>
          <w:tcPr>
            <w:tcW w:w="1080" w:type="dxa"/>
            <w:tcBorders>
              <w:top w:val="nil"/>
              <w:left w:val="nil"/>
              <w:bottom w:val="single" w:sz="4" w:space="0" w:color="auto"/>
              <w:right w:val="single" w:sz="4" w:space="0" w:color="auto"/>
            </w:tcBorders>
            <w:shd w:val="clear" w:color="auto" w:fill="auto"/>
            <w:noWrap/>
            <w:vAlign w:val="bottom"/>
            <w:hideMark/>
          </w:tcPr>
          <w:p w14:paraId="5C73D661"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-367</w:t>
            </w:r>
          </w:p>
        </w:tc>
        <w:tc>
          <w:tcPr>
            <w:tcW w:w="1080" w:type="dxa"/>
            <w:tcBorders>
              <w:top w:val="nil"/>
              <w:left w:val="nil"/>
              <w:bottom w:val="single" w:sz="4" w:space="0" w:color="auto"/>
              <w:right w:val="single" w:sz="4" w:space="0" w:color="auto"/>
            </w:tcBorders>
            <w:shd w:val="clear" w:color="auto" w:fill="auto"/>
            <w:noWrap/>
            <w:vAlign w:val="bottom"/>
            <w:hideMark/>
          </w:tcPr>
          <w:p w14:paraId="62F41DA1"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-310</w:t>
            </w:r>
          </w:p>
        </w:tc>
        <w:tc>
          <w:tcPr>
            <w:tcW w:w="1080" w:type="dxa"/>
            <w:tcBorders>
              <w:top w:val="nil"/>
              <w:left w:val="nil"/>
              <w:bottom w:val="single" w:sz="4" w:space="0" w:color="auto"/>
              <w:right w:val="single" w:sz="4" w:space="0" w:color="auto"/>
            </w:tcBorders>
            <w:shd w:val="clear" w:color="auto" w:fill="auto"/>
            <w:noWrap/>
            <w:vAlign w:val="bottom"/>
            <w:hideMark/>
          </w:tcPr>
          <w:p w14:paraId="4A2193E3"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-270</w:t>
            </w:r>
          </w:p>
        </w:tc>
        <w:tc>
          <w:tcPr>
            <w:tcW w:w="2057" w:type="dxa"/>
            <w:tcBorders>
              <w:top w:val="nil"/>
              <w:left w:val="nil"/>
              <w:bottom w:val="single" w:sz="4" w:space="0" w:color="auto"/>
              <w:right w:val="single" w:sz="4" w:space="0" w:color="auto"/>
            </w:tcBorders>
          </w:tcPr>
          <w:p w14:paraId="0533429C" w14:textId="77777777" w:rsidR="00051C55" w:rsidRPr="00BA129A" w:rsidRDefault="00051C55" w:rsidP="00EA1CD5">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Decreasing loss</w:t>
            </w:r>
          </w:p>
        </w:tc>
      </w:tr>
      <w:tr w:rsidR="00051C55" w:rsidRPr="00BA129A" w14:paraId="30539D93" w14:textId="77777777" w:rsidTr="00502340">
        <w:trPr>
          <w:trHeight w:val="285"/>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7E8BA90C" w14:textId="77777777" w:rsidR="00051C55" w:rsidRPr="00BA129A" w:rsidRDefault="00051C55" w:rsidP="00650A11">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5-9</w:t>
            </w:r>
          </w:p>
        </w:tc>
        <w:tc>
          <w:tcPr>
            <w:tcW w:w="1080" w:type="dxa"/>
            <w:tcBorders>
              <w:top w:val="nil"/>
              <w:left w:val="nil"/>
              <w:bottom w:val="single" w:sz="4" w:space="0" w:color="auto"/>
              <w:right w:val="single" w:sz="4" w:space="0" w:color="auto"/>
            </w:tcBorders>
            <w:shd w:val="clear" w:color="auto" w:fill="auto"/>
            <w:noWrap/>
            <w:vAlign w:val="bottom"/>
            <w:hideMark/>
          </w:tcPr>
          <w:p w14:paraId="4EE13ED3"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-367</w:t>
            </w:r>
          </w:p>
        </w:tc>
        <w:tc>
          <w:tcPr>
            <w:tcW w:w="1080" w:type="dxa"/>
            <w:tcBorders>
              <w:top w:val="nil"/>
              <w:left w:val="nil"/>
              <w:bottom w:val="single" w:sz="4" w:space="0" w:color="auto"/>
              <w:right w:val="single" w:sz="4" w:space="0" w:color="auto"/>
            </w:tcBorders>
            <w:shd w:val="clear" w:color="auto" w:fill="auto"/>
            <w:noWrap/>
            <w:vAlign w:val="bottom"/>
            <w:hideMark/>
          </w:tcPr>
          <w:p w14:paraId="3233FC18"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-383</w:t>
            </w:r>
          </w:p>
        </w:tc>
        <w:tc>
          <w:tcPr>
            <w:tcW w:w="1080" w:type="dxa"/>
            <w:tcBorders>
              <w:top w:val="nil"/>
              <w:left w:val="nil"/>
              <w:bottom w:val="single" w:sz="4" w:space="0" w:color="auto"/>
              <w:right w:val="single" w:sz="4" w:space="0" w:color="auto"/>
            </w:tcBorders>
            <w:shd w:val="clear" w:color="auto" w:fill="auto"/>
            <w:noWrap/>
            <w:vAlign w:val="bottom"/>
            <w:hideMark/>
          </w:tcPr>
          <w:p w14:paraId="0F5AFD96"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-332</w:t>
            </w:r>
          </w:p>
        </w:tc>
        <w:tc>
          <w:tcPr>
            <w:tcW w:w="2057" w:type="dxa"/>
            <w:tcBorders>
              <w:top w:val="nil"/>
              <w:left w:val="nil"/>
              <w:bottom w:val="single" w:sz="4" w:space="0" w:color="auto"/>
              <w:right w:val="single" w:sz="4" w:space="0" w:color="auto"/>
            </w:tcBorders>
          </w:tcPr>
          <w:p w14:paraId="30BF274E" w14:textId="77777777" w:rsidR="00051C55" w:rsidRPr="00BA129A" w:rsidRDefault="00051C55" w:rsidP="00EA1CD5">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Decreasing loss</w:t>
            </w:r>
          </w:p>
        </w:tc>
      </w:tr>
      <w:tr w:rsidR="00051C55" w:rsidRPr="00BA129A" w14:paraId="5F5342E0" w14:textId="77777777" w:rsidTr="00502340">
        <w:trPr>
          <w:trHeight w:val="285"/>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12D0D9C3" w14:textId="77777777" w:rsidR="00051C55" w:rsidRPr="00BA129A" w:rsidRDefault="00051C55" w:rsidP="00650A11">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10-14</w:t>
            </w:r>
          </w:p>
        </w:tc>
        <w:tc>
          <w:tcPr>
            <w:tcW w:w="1080" w:type="dxa"/>
            <w:tcBorders>
              <w:top w:val="nil"/>
              <w:left w:val="nil"/>
              <w:bottom w:val="single" w:sz="4" w:space="0" w:color="auto"/>
              <w:right w:val="single" w:sz="4" w:space="0" w:color="auto"/>
            </w:tcBorders>
            <w:shd w:val="clear" w:color="auto" w:fill="auto"/>
            <w:noWrap/>
            <w:vAlign w:val="bottom"/>
            <w:hideMark/>
          </w:tcPr>
          <w:p w14:paraId="713EBAA5"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-86</w:t>
            </w:r>
          </w:p>
        </w:tc>
        <w:tc>
          <w:tcPr>
            <w:tcW w:w="1080" w:type="dxa"/>
            <w:tcBorders>
              <w:top w:val="nil"/>
              <w:left w:val="nil"/>
              <w:bottom w:val="single" w:sz="4" w:space="0" w:color="auto"/>
              <w:right w:val="single" w:sz="4" w:space="0" w:color="auto"/>
            </w:tcBorders>
            <w:shd w:val="clear" w:color="auto" w:fill="auto"/>
            <w:noWrap/>
            <w:vAlign w:val="bottom"/>
            <w:hideMark/>
          </w:tcPr>
          <w:p w14:paraId="0E8B3D9C"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-89</w:t>
            </w:r>
          </w:p>
        </w:tc>
        <w:tc>
          <w:tcPr>
            <w:tcW w:w="1080" w:type="dxa"/>
            <w:tcBorders>
              <w:top w:val="nil"/>
              <w:left w:val="nil"/>
              <w:bottom w:val="single" w:sz="4" w:space="0" w:color="auto"/>
              <w:right w:val="single" w:sz="4" w:space="0" w:color="auto"/>
            </w:tcBorders>
            <w:shd w:val="clear" w:color="auto" w:fill="auto"/>
            <w:noWrap/>
            <w:vAlign w:val="bottom"/>
            <w:hideMark/>
          </w:tcPr>
          <w:p w14:paraId="0EC75248"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-103</w:t>
            </w:r>
          </w:p>
        </w:tc>
        <w:tc>
          <w:tcPr>
            <w:tcW w:w="2057" w:type="dxa"/>
            <w:tcBorders>
              <w:top w:val="nil"/>
              <w:left w:val="nil"/>
              <w:bottom w:val="single" w:sz="4" w:space="0" w:color="auto"/>
              <w:right w:val="single" w:sz="4" w:space="0" w:color="auto"/>
            </w:tcBorders>
          </w:tcPr>
          <w:p w14:paraId="0FAC4803" w14:textId="77777777" w:rsidR="00051C55" w:rsidRPr="00BA129A" w:rsidRDefault="00051C55" w:rsidP="00EA1CD5">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Increasing loss</w:t>
            </w:r>
          </w:p>
        </w:tc>
      </w:tr>
      <w:tr w:rsidR="00051C55" w:rsidRPr="00BA129A" w14:paraId="077B6C50" w14:textId="77777777" w:rsidTr="00502340">
        <w:trPr>
          <w:trHeight w:val="285"/>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18397686" w14:textId="77777777" w:rsidR="00051C55" w:rsidRPr="00BA129A" w:rsidRDefault="00051C55" w:rsidP="00650A11">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15-19</w:t>
            </w:r>
          </w:p>
        </w:tc>
        <w:tc>
          <w:tcPr>
            <w:tcW w:w="1080" w:type="dxa"/>
            <w:tcBorders>
              <w:top w:val="nil"/>
              <w:left w:val="nil"/>
              <w:bottom w:val="single" w:sz="4" w:space="0" w:color="auto"/>
              <w:right w:val="single" w:sz="4" w:space="0" w:color="auto"/>
            </w:tcBorders>
            <w:shd w:val="clear" w:color="auto" w:fill="auto"/>
            <w:noWrap/>
            <w:vAlign w:val="bottom"/>
            <w:hideMark/>
          </w:tcPr>
          <w:p w14:paraId="6F84C2C7"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-1,556</w:t>
            </w:r>
          </w:p>
        </w:tc>
        <w:tc>
          <w:tcPr>
            <w:tcW w:w="1080" w:type="dxa"/>
            <w:tcBorders>
              <w:top w:val="nil"/>
              <w:left w:val="nil"/>
              <w:bottom w:val="single" w:sz="4" w:space="0" w:color="auto"/>
              <w:right w:val="single" w:sz="4" w:space="0" w:color="auto"/>
            </w:tcBorders>
            <w:shd w:val="clear" w:color="auto" w:fill="auto"/>
            <w:noWrap/>
            <w:vAlign w:val="bottom"/>
            <w:hideMark/>
          </w:tcPr>
          <w:p w14:paraId="53312CCD"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-1,555</w:t>
            </w:r>
          </w:p>
        </w:tc>
        <w:tc>
          <w:tcPr>
            <w:tcW w:w="1080" w:type="dxa"/>
            <w:tcBorders>
              <w:top w:val="nil"/>
              <w:left w:val="nil"/>
              <w:bottom w:val="single" w:sz="4" w:space="0" w:color="auto"/>
              <w:right w:val="single" w:sz="4" w:space="0" w:color="auto"/>
            </w:tcBorders>
            <w:shd w:val="clear" w:color="auto" w:fill="auto"/>
            <w:noWrap/>
            <w:vAlign w:val="bottom"/>
            <w:hideMark/>
          </w:tcPr>
          <w:p w14:paraId="20908C84"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-1,628</w:t>
            </w:r>
          </w:p>
        </w:tc>
        <w:tc>
          <w:tcPr>
            <w:tcW w:w="2057" w:type="dxa"/>
            <w:tcBorders>
              <w:top w:val="nil"/>
              <w:left w:val="nil"/>
              <w:bottom w:val="single" w:sz="4" w:space="0" w:color="auto"/>
              <w:right w:val="single" w:sz="4" w:space="0" w:color="auto"/>
            </w:tcBorders>
          </w:tcPr>
          <w:p w14:paraId="646B67D6" w14:textId="77777777" w:rsidR="00051C55" w:rsidRPr="00BA129A" w:rsidRDefault="00051C55" w:rsidP="00EA1CD5">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Increasing loss</w:t>
            </w:r>
          </w:p>
        </w:tc>
      </w:tr>
      <w:tr w:rsidR="00051C55" w:rsidRPr="00BA129A" w14:paraId="42251989" w14:textId="77777777" w:rsidTr="00502340">
        <w:trPr>
          <w:trHeight w:val="285"/>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24F6FE4C" w14:textId="77777777" w:rsidR="00051C55" w:rsidRPr="00BA129A" w:rsidRDefault="00051C55" w:rsidP="00650A11">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20-24</w:t>
            </w:r>
          </w:p>
        </w:tc>
        <w:tc>
          <w:tcPr>
            <w:tcW w:w="1080" w:type="dxa"/>
            <w:tcBorders>
              <w:top w:val="nil"/>
              <w:left w:val="nil"/>
              <w:bottom w:val="single" w:sz="4" w:space="0" w:color="auto"/>
              <w:right w:val="single" w:sz="4" w:space="0" w:color="auto"/>
            </w:tcBorders>
            <w:shd w:val="clear" w:color="auto" w:fill="auto"/>
            <w:noWrap/>
            <w:vAlign w:val="bottom"/>
            <w:hideMark/>
          </w:tcPr>
          <w:p w14:paraId="32867D28"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611</w:t>
            </w:r>
          </w:p>
        </w:tc>
        <w:tc>
          <w:tcPr>
            <w:tcW w:w="1080" w:type="dxa"/>
            <w:tcBorders>
              <w:top w:val="nil"/>
              <w:left w:val="nil"/>
              <w:bottom w:val="single" w:sz="4" w:space="0" w:color="auto"/>
              <w:right w:val="single" w:sz="4" w:space="0" w:color="auto"/>
            </w:tcBorders>
            <w:shd w:val="clear" w:color="auto" w:fill="auto"/>
            <w:noWrap/>
            <w:vAlign w:val="bottom"/>
            <w:hideMark/>
          </w:tcPr>
          <w:p w14:paraId="6C7C2F4F"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930</w:t>
            </w:r>
          </w:p>
        </w:tc>
        <w:tc>
          <w:tcPr>
            <w:tcW w:w="1080" w:type="dxa"/>
            <w:tcBorders>
              <w:top w:val="nil"/>
              <w:left w:val="nil"/>
              <w:bottom w:val="single" w:sz="4" w:space="0" w:color="auto"/>
              <w:right w:val="single" w:sz="4" w:space="0" w:color="auto"/>
            </w:tcBorders>
            <w:shd w:val="clear" w:color="auto" w:fill="auto"/>
            <w:noWrap/>
            <w:vAlign w:val="bottom"/>
            <w:hideMark/>
          </w:tcPr>
          <w:p w14:paraId="732FEA59"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1,078</w:t>
            </w:r>
          </w:p>
        </w:tc>
        <w:tc>
          <w:tcPr>
            <w:tcW w:w="2057" w:type="dxa"/>
            <w:tcBorders>
              <w:top w:val="nil"/>
              <w:left w:val="nil"/>
              <w:bottom w:val="single" w:sz="4" w:space="0" w:color="auto"/>
              <w:right w:val="single" w:sz="4" w:space="0" w:color="auto"/>
            </w:tcBorders>
          </w:tcPr>
          <w:p w14:paraId="103E53E4" w14:textId="77777777" w:rsidR="00051C55" w:rsidRPr="00BA129A" w:rsidRDefault="00051C55" w:rsidP="00EA1CD5">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Increasing gain</w:t>
            </w:r>
          </w:p>
        </w:tc>
      </w:tr>
    </w:tbl>
    <w:p w14:paraId="46582AC2" w14:textId="35B3D3E0" w:rsidR="00051C55" w:rsidRDefault="00051C55" w:rsidP="00830137">
      <w:pPr>
        <w:spacing w:after="0" w:line="240" w:lineRule="auto"/>
        <w:rPr>
          <w:rFonts w:ascii="Arial" w:hAnsi="Arial" w:cs="Arial"/>
          <w:sz w:val="24"/>
          <w:szCs w:val="24"/>
        </w:rPr>
      </w:pPr>
    </w:p>
    <w:p w14:paraId="355081BF" w14:textId="77777777" w:rsidR="00830137" w:rsidRDefault="00830137" w:rsidP="00830137">
      <w:pPr>
        <w:spacing w:after="0" w:line="240" w:lineRule="auto"/>
        <w:rPr>
          <w:rFonts w:ascii="Arial" w:hAnsi="Arial" w:cs="Arial"/>
          <w:sz w:val="24"/>
          <w:szCs w:val="24"/>
        </w:rPr>
      </w:pPr>
      <w:r w:rsidRPr="00BA129A">
        <w:rPr>
          <w:rFonts w:ascii="Arial" w:hAnsi="Arial" w:cs="Arial"/>
          <w:sz w:val="24"/>
          <w:szCs w:val="24"/>
        </w:rPr>
        <w:t xml:space="preserve">Harrow’s net international migration projects an increasing number of children migrating into Harrow for all the age ranges, however the increase is declining from 2019 to 2028.  </w:t>
      </w:r>
    </w:p>
    <w:p w14:paraId="6C8E3AF3" w14:textId="77777777" w:rsidR="00830137" w:rsidRDefault="00830137" w:rsidP="00830137">
      <w:pPr>
        <w:spacing w:after="0" w:line="240" w:lineRule="auto"/>
        <w:rPr>
          <w:rFonts w:ascii="Arial" w:hAnsi="Arial" w:cs="Arial"/>
          <w:sz w:val="24"/>
          <w:szCs w:val="24"/>
        </w:rPr>
      </w:pPr>
    </w:p>
    <w:tbl>
      <w:tblPr>
        <w:tblW w:w="7541" w:type="dxa"/>
        <w:tblInd w:w="93" w:type="dxa"/>
        <w:tblLook w:val="04A0" w:firstRow="1" w:lastRow="0" w:firstColumn="1" w:lastColumn="0" w:noHBand="0" w:noVBand="1"/>
      </w:tblPr>
      <w:tblGrid>
        <w:gridCol w:w="2217"/>
        <w:gridCol w:w="1080"/>
        <w:gridCol w:w="1080"/>
        <w:gridCol w:w="1080"/>
        <w:gridCol w:w="2084"/>
      </w:tblGrid>
      <w:tr w:rsidR="00051C55" w:rsidRPr="00BA129A" w14:paraId="37685D27" w14:textId="77777777" w:rsidTr="00EA1CD5">
        <w:trPr>
          <w:trHeight w:val="285"/>
        </w:trPr>
        <w:tc>
          <w:tcPr>
            <w:tcW w:w="2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D3BCE" w14:textId="77777777" w:rsidR="00051C55" w:rsidRPr="00BA129A" w:rsidRDefault="00051C55" w:rsidP="00650A11">
            <w:pPr>
              <w:spacing w:after="0" w:line="240" w:lineRule="auto"/>
              <w:rPr>
                <w:rFonts w:ascii="Arial" w:eastAsia="Times New Roman" w:hAnsi="Arial" w:cs="Arial"/>
                <w:b/>
                <w:color w:val="000000"/>
                <w:sz w:val="24"/>
                <w:szCs w:val="24"/>
                <w:lang w:eastAsia="en-GB"/>
              </w:rPr>
            </w:pPr>
            <w:r w:rsidRPr="00BA129A">
              <w:rPr>
                <w:rFonts w:ascii="Arial" w:eastAsia="Times New Roman" w:hAnsi="Arial" w:cs="Arial"/>
                <w:b/>
                <w:color w:val="000000"/>
                <w:sz w:val="24"/>
                <w:szCs w:val="24"/>
                <w:lang w:eastAsia="en-GB"/>
              </w:rPr>
              <w:t>International net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C9C13D1" w14:textId="77777777" w:rsidR="00051C55" w:rsidRPr="00BA129A" w:rsidRDefault="00051C55" w:rsidP="00650A11">
            <w:pPr>
              <w:spacing w:after="0" w:line="240" w:lineRule="auto"/>
              <w:jc w:val="center"/>
              <w:rPr>
                <w:rFonts w:ascii="Arial" w:eastAsia="Times New Roman" w:hAnsi="Arial" w:cs="Arial"/>
                <w:b/>
                <w:color w:val="000000"/>
                <w:sz w:val="24"/>
                <w:szCs w:val="24"/>
                <w:lang w:eastAsia="en-GB"/>
              </w:rPr>
            </w:pPr>
            <w:r w:rsidRPr="00BA129A">
              <w:rPr>
                <w:rFonts w:ascii="Arial" w:eastAsia="Times New Roman" w:hAnsi="Arial" w:cs="Arial"/>
                <w:b/>
                <w:color w:val="000000"/>
                <w:sz w:val="24"/>
                <w:szCs w:val="24"/>
                <w:lang w:eastAsia="en-GB"/>
              </w:rPr>
              <w:t>2019</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AB12BCA" w14:textId="77777777" w:rsidR="00051C55" w:rsidRPr="00BA129A" w:rsidRDefault="00051C55" w:rsidP="00650A11">
            <w:pPr>
              <w:spacing w:after="0" w:line="240" w:lineRule="auto"/>
              <w:jc w:val="center"/>
              <w:rPr>
                <w:rFonts w:ascii="Arial" w:eastAsia="Times New Roman" w:hAnsi="Arial" w:cs="Arial"/>
                <w:b/>
                <w:color w:val="000000"/>
                <w:sz w:val="24"/>
                <w:szCs w:val="24"/>
                <w:lang w:eastAsia="en-GB"/>
              </w:rPr>
            </w:pPr>
            <w:r w:rsidRPr="00BA129A">
              <w:rPr>
                <w:rFonts w:ascii="Arial" w:eastAsia="Times New Roman" w:hAnsi="Arial" w:cs="Arial"/>
                <w:b/>
                <w:color w:val="000000"/>
                <w:sz w:val="24"/>
                <w:szCs w:val="24"/>
                <w:lang w:eastAsia="en-GB"/>
              </w:rPr>
              <w:t>2023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9E9CFAF" w14:textId="77777777" w:rsidR="00051C55" w:rsidRPr="00BA129A" w:rsidRDefault="00051C55" w:rsidP="00650A11">
            <w:pPr>
              <w:spacing w:after="0" w:line="240" w:lineRule="auto"/>
              <w:jc w:val="center"/>
              <w:rPr>
                <w:rFonts w:ascii="Arial" w:eastAsia="Times New Roman" w:hAnsi="Arial" w:cs="Arial"/>
                <w:b/>
                <w:color w:val="000000"/>
                <w:sz w:val="24"/>
                <w:szCs w:val="24"/>
                <w:lang w:eastAsia="en-GB"/>
              </w:rPr>
            </w:pPr>
            <w:r w:rsidRPr="00BA129A">
              <w:rPr>
                <w:rFonts w:ascii="Arial" w:eastAsia="Times New Roman" w:hAnsi="Arial" w:cs="Arial"/>
                <w:b/>
                <w:color w:val="000000"/>
                <w:sz w:val="24"/>
                <w:szCs w:val="24"/>
                <w:lang w:eastAsia="en-GB"/>
              </w:rPr>
              <w:t>2028</w:t>
            </w:r>
          </w:p>
        </w:tc>
        <w:tc>
          <w:tcPr>
            <w:tcW w:w="2084" w:type="dxa"/>
            <w:tcBorders>
              <w:top w:val="single" w:sz="4" w:space="0" w:color="auto"/>
              <w:left w:val="nil"/>
              <w:bottom w:val="single" w:sz="4" w:space="0" w:color="auto"/>
              <w:right w:val="single" w:sz="4" w:space="0" w:color="auto"/>
            </w:tcBorders>
          </w:tcPr>
          <w:p w14:paraId="09D12440" w14:textId="77777777" w:rsidR="00051C55" w:rsidRPr="00BA129A" w:rsidRDefault="00051C55" w:rsidP="00EA1CD5">
            <w:pPr>
              <w:spacing w:after="0" w:line="240" w:lineRule="auto"/>
              <w:rPr>
                <w:rFonts w:ascii="Arial" w:eastAsia="Times New Roman" w:hAnsi="Arial" w:cs="Arial"/>
                <w:b/>
                <w:color w:val="000000"/>
                <w:sz w:val="24"/>
                <w:szCs w:val="24"/>
                <w:lang w:eastAsia="en-GB"/>
              </w:rPr>
            </w:pPr>
            <w:r w:rsidRPr="00BA129A">
              <w:rPr>
                <w:rFonts w:ascii="Arial" w:eastAsia="Times New Roman" w:hAnsi="Arial" w:cs="Arial"/>
                <w:b/>
                <w:color w:val="000000"/>
                <w:sz w:val="24"/>
                <w:szCs w:val="24"/>
                <w:lang w:eastAsia="en-GB"/>
              </w:rPr>
              <w:t>Direction</w:t>
            </w:r>
          </w:p>
        </w:tc>
      </w:tr>
      <w:tr w:rsidR="00051C55" w:rsidRPr="00BA129A" w14:paraId="37EF64FC" w14:textId="77777777" w:rsidTr="00EA1CD5">
        <w:trPr>
          <w:trHeight w:val="285"/>
        </w:trPr>
        <w:tc>
          <w:tcPr>
            <w:tcW w:w="2217" w:type="dxa"/>
            <w:tcBorders>
              <w:top w:val="nil"/>
              <w:left w:val="single" w:sz="4" w:space="0" w:color="auto"/>
              <w:bottom w:val="single" w:sz="4" w:space="0" w:color="auto"/>
              <w:right w:val="single" w:sz="4" w:space="0" w:color="auto"/>
            </w:tcBorders>
            <w:shd w:val="clear" w:color="auto" w:fill="auto"/>
            <w:noWrap/>
            <w:vAlign w:val="bottom"/>
            <w:hideMark/>
          </w:tcPr>
          <w:p w14:paraId="39CA79F5" w14:textId="77777777" w:rsidR="00051C55" w:rsidRPr="00BA129A" w:rsidRDefault="00051C55" w:rsidP="00650A11">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0-4</w:t>
            </w:r>
          </w:p>
        </w:tc>
        <w:tc>
          <w:tcPr>
            <w:tcW w:w="1080" w:type="dxa"/>
            <w:tcBorders>
              <w:top w:val="nil"/>
              <w:left w:val="nil"/>
              <w:bottom w:val="single" w:sz="4" w:space="0" w:color="auto"/>
              <w:right w:val="single" w:sz="4" w:space="0" w:color="auto"/>
            </w:tcBorders>
            <w:shd w:val="clear" w:color="auto" w:fill="auto"/>
            <w:noWrap/>
            <w:vAlign w:val="bottom"/>
            <w:hideMark/>
          </w:tcPr>
          <w:p w14:paraId="27B58F36"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294</w:t>
            </w:r>
          </w:p>
        </w:tc>
        <w:tc>
          <w:tcPr>
            <w:tcW w:w="1080" w:type="dxa"/>
            <w:tcBorders>
              <w:top w:val="nil"/>
              <w:left w:val="nil"/>
              <w:bottom w:val="single" w:sz="4" w:space="0" w:color="auto"/>
              <w:right w:val="single" w:sz="4" w:space="0" w:color="auto"/>
            </w:tcBorders>
            <w:shd w:val="clear" w:color="auto" w:fill="auto"/>
            <w:noWrap/>
            <w:vAlign w:val="bottom"/>
            <w:hideMark/>
          </w:tcPr>
          <w:p w14:paraId="7B43D0F9"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260</w:t>
            </w:r>
          </w:p>
        </w:tc>
        <w:tc>
          <w:tcPr>
            <w:tcW w:w="1080" w:type="dxa"/>
            <w:tcBorders>
              <w:top w:val="nil"/>
              <w:left w:val="nil"/>
              <w:bottom w:val="single" w:sz="4" w:space="0" w:color="auto"/>
              <w:right w:val="single" w:sz="4" w:space="0" w:color="auto"/>
            </w:tcBorders>
            <w:shd w:val="clear" w:color="auto" w:fill="auto"/>
            <w:noWrap/>
            <w:vAlign w:val="bottom"/>
            <w:hideMark/>
          </w:tcPr>
          <w:p w14:paraId="73B4CFCC"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243</w:t>
            </w:r>
          </w:p>
        </w:tc>
        <w:tc>
          <w:tcPr>
            <w:tcW w:w="2084" w:type="dxa"/>
            <w:tcBorders>
              <w:top w:val="nil"/>
              <w:left w:val="nil"/>
              <w:bottom w:val="single" w:sz="4" w:space="0" w:color="auto"/>
              <w:right w:val="single" w:sz="4" w:space="0" w:color="auto"/>
            </w:tcBorders>
          </w:tcPr>
          <w:p w14:paraId="7A94C250" w14:textId="77777777" w:rsidR="00051C55" w:rsidRPr="00BA129A" w:rsidRDefault="00051C55" w:rsidP="00EA1CD5">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Decreasing gain</w:t>
            </w:r>
          </w:p>
        </w:tc>
      </w:tr>
      <w:tr w:rsidR="00051C55" w:rsidRPr="00BA129A" w14:paraId="58A8AB82" w14:textId="77777777" w:rsidTr="00EA1CD5">
        <w:trPr>
          <w:trHeight w:val="285"/>
        </w:trPr>
        <w:tc>
          <w:tcPr>
            <w:tcW w:w="2217" w:type="dxa"/>
            <w:tcBorders>
              <w:top w:val="nil"/>
              <w:left w:val="single" w:sz="4" w:space="0" w:color="auto"/>
              <w:bottom w:val="single" w:sz="4" w:space="0" w:color="auto"/>
              <w:right w:val="single" w:sz="4" w:space="0" w:color="auto"/>
            </w:tcBorders>
            <w:shd w:val="clear" w:color="auto" w:fill="auto"/>
            <w:noWrap/>
            <w:vAlign w:val="bottom"/>
            <w:hideMark/>
          </w:tcPr>
          <w:p w14:paraId="7601DD01" w14:textId="77777777" w:rsidR="00051C55" w:rsidRPr="00BA129A" w:rsidRDefault="00051C55" w:rsidP="00650A11">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5-9</w:t>
            </w:r>
          </w:p>
        </w:tc>
        <w:tc>
          <w:tcPr>
            <w:tcW w:w="1080" w:type="dxa"/>
            <w:tcBorders>
              <w:top w:val="nil"/>
              <w:left w:val="nil"/>
              <w:bottom w:val="single" w:sz="4" w:space="0" w:color="auto"/>
              <w:right w:val="single" w:sz="4" w:space="0" w:color="auto"/>
            </w:tcBorders>
            <w:shd w:val="clear" w:color="auto" w:fill="auto"/>
            <w:noWrap/>
            <w:vAlign w:val="bottom"/>
            <w:hideMark/>
          </w:tcPr>
          <w:p w14:paraId="408857D0"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193</w:t>
            </w:r>
          </w:p>
        </w:tc>
        <w:tc>
          <w:tcPr>
            <w:tcW w:w="1080" w:type="dxa"/>
            <w:tcBorders>
              <w:top w:val="nil"/>
              <w:left w:val="nil"/>
              <w:bottom w:val="single" w:sz="4" w:space="0" w:color="auto"/>
              <w:right w:val="single" w:sz="4" w:space="0" w:color="auto"/>
            </w:tcBorders>
            <w:shd w:val="clear" w:color="auto" w:fill="auto"/>
            <w:noWrap/>
            <w:vAlign w:val="bottom"/>
            <w:hideMark/>
          </w:tcPr>
          <w:p w14:paraId="499DA87E"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171</w:t>
            </w:r>
          </w:p>
        </w:tc>
        <w:tc>
          <w:tcPr>
            <w:tcW w:w="1080" w:type="dxa"/>
            <w:tcBorders>
              <w:top w:val="nil"/>
              <w:left w:val="nil"/>
              <w:bottom w:val="single" w:sz="4" w:space="0" w:color="auto"/>
              <w:right w:val="single" w:sz="4" w:space="0" w:color="auto"/>
            </w:tcBorders>
            <w:shd w:val="clear" w:color="auto" w:fill="auto"/>
            <w:noWrap/>
            <w:vAlign w:val="bottom"/>
            <w:hideMark/>
          </w:tcPr>
          <w:p w14:paraId="4055D31F"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159</w:t>
            </w:r>
          </w:p>
        </w:tc>
        <w:tc>
          <w:tcPr>
            <w:tcW w:w="2084" w:type="dxa"/>
            <w:tcBorders>
              <w:top w:val="nil"/>
              <w:left w:val="nil"/>
              <w:bottom w:val="single" w:sz="4" w:space="0" w:color="auto"/>
              <w:right w:val="single" w:sz="4" w:space="0" w:color="auto"/>
            </w:tcBorders>
          </w:tcPr>
          <w:p w14:paraId="379134F0" w14:textId="77777777" w:rsidR="00051C55" w:rsidRPr="00BA129A" w:rsidRDefault="00051C55" w:rsidP="00EA1CD5">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Decreasing gain</w:t>
            </w:r>
          </w:p>
        </w:tc>
      </w:tr>
      <w:tr w:rsidR="00051C55" w:rsidRPr="00BA129A" w14:paraId="67007C34" w14:textId="77777777" w:rsidTr="00EA1CD5">
        <w:trPr>
          <w:trHeight w:val="285"/>
        </w:trPr>
        <w:tc>
          <w:tcPr>
            <w:tcW w:w="2217" w:type="dxa"/>
            <w:tcBorders>
              <w:top w:val="nil"/>
              <w:left w:val="single" w:sz="4" w:space="0" w:color="auto"/>
              <w:bottom w:val="single" w:sz="4" w:space="0" w:color="auto"/>
              <w:right w:val="single" w:sz="4" w:space="0" w:color="auto"/>
            </w:tcBorders>
            <w:shd w:val="clear" w:color="auto" w:fill="auto"/>
            <w:noWrap/>
            <w:vAlign w:val="bottom"/>
            <w:hideMark/>
          </w:tcPr>
          <w:p w14:paraId="59C88FA3" w14:textId="77777777" w:rsidR="00051C55" w:rsidRPr="00BA129A" w:rsidRDefault="00051C55" w:rsidP="00650A11">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10-14</w:t>
            </w:r>
          </w:p>
        </w:tc>
        <w:tc>
          <w:tcPr>
            <w:tcW w:w="1080" w:type="dxa"/>
            <w:tcBorders>
              <w:top w:val="nil"/>
              <w:left w:val="nil"/>
              <w:bottom w:val="single" w:sz="4" w:space="0" w:color="auto"/>
              <w:right w:val="single" w:sz="4" w:space="0" w:color="auto"/>
            </w:tcBorders>
            <w:shd w:val="clear" w:color="auto" w:fill="auto"/>
            <w:noWrap/>
            <w:vAlign w:val="bottom"/>
            <w:hideMark/>
          </w:tcPr>
          <w:p w14:paraId="7E3B5241"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171</w:t>
            </w:r>
          </w:p>
        </w:tc>
        <w:tc>
          <w:tcPr>
            <w:tcW w:w="1080" w:type="dxa"/>
            <w:tcBorders>
              <w:top w:val="nil"/>
              <w:left w:val="nil"/>
              <w:bottom w:val="single" w:sz="4" w:space="0" w:color="auto"/>
              <w:right w:val="single" w:sz="4" w:space="0" w:color="auto"/>
            </w:tcBorders>
            <w:shd w:val="clear" w:color="auto" w:fill="auto"/>
            <w:noWrap/>
            <w:vAlign w:val="bottom"/>
            <w:hideMark/>
          </w:tcPr>
          <w:p w14:paraId="44CF72FC"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151</w:t>
            </w:r>
          </w:p>
        </w:tc>
        <w:tc>
          <w:tcPr>
            <w:tcW w:w="1080" w:type="dxa"/>
            <w:tcBorders>
              <w:top w:val="nil"/>
              <w:left w:val="nil"/>
              <w:bottom w:val="single" w:sz="4" w:space="0" w:color="auto"/>
              <w:right w:val="single" w:sz="4" w:space="0" w:color="auto"/>
            </w:tcBorders>
            <w:shd w:val="clear" w:color="auto" w:fill="auto"/>
            <w:noWrap/>
            <w:vAlign w:val="bottom"/>
            <w:hideMark/>
          </w:tcPr>
          <w:p w14:paraId="657B12A0"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141</w:t>
            </w:r>
          </w:p>
        </w:tc>
        <w:tc>
          <w:tcPr>
            <w:tcW w:w="2084" w:type="dxa"/>
            <w:tcBorders>
              <w:top w:val="nil"/>
              <w:left w:val="nil"/>
              <w:bottom w:val="single" w:sz="4" w:space="0" w:color="auto"/>
              <w:right w:val="single" w:sz="4" w:space="0" w:color="auto"/>
            </w:tcBorders>
          </w:tcPr>
          <w:p w14:paraId="3D865F3D" w14:textId="77777777" w:rsidR="00051C55" w:rsidRPr="00BA129A" w:rsidRDefault="00051C55" w:rsidP="00EA1CD5">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Decreasing gain</w:t>
            </w:r>
          </w:p>
        </w:tc>
      </w:tr>
      <w:tr w:rsidR="00051C55" w:rsidRPr="00BA129A" w14:paraId="637F975C" w14:textId="77777777" w:rsidTr="00EA1CD5">
        <w:trPr>
          <w:trHeight w:val="285"/>
        </w:trPr>
        <w:tc>
          <w:tcPr>
            <w:tcW w:w="2217" w:type="dxa"/>
            <w:tcBorders>
              <w:top w:val="nil"/>
              <w:left w:val="single" w:sz="4" w:space="0" w:color="auto"/>
              <w:bottom w:val="single" w:sz="4" w:space="0" w:color="auto"/>
              <w:right w:val="single" w:sz="4" w:space="0" w:color="auto"/>
            </w:tcBorders>
            <w:shd w:val="clear" w:color="auto" w:fill="auto"/>
            <w:noWrap/>
            <w:vAlign w:val="bottom"/>
            <w:hideMark/>
          </w:tcPr>
          <w:p w14:paraId="18A9B6F4" w14:textId="77777777" w:rsidR="00051C55" w:rsidRPr="00BA129A" w:rsidRDefault="00051C55" w:rsidP="00650A11">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15-19</w:t>
            </w:r>
          </w:p>
        </w:tc>
        <w:tc>
          <w:tcPr>
            <w:tcW w:w="1080" w:type="dxa"/>
            <w:tcBorders>
              <w:top w:val="nil"/>
              <w:left w:val="nil"/>
              <w:bottom w:val="single" w:sz="4" w:space="0" w:color="auto"/>
              <w:right w:val="single" w:sz="4" w:space="0" w:color="auto"/>
            </w:tcBorders>
            <w:shd w:val="clear" w:color="auto" w:fill="auto"/>
            <w:noWrap/>
            <w:vAlign w:val="bottom"/>
            <w:hideMark/>
          </w:tcPr>
          <w:p w14:paraId="41DC5CDF"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263</w:t>
            </w:r>
          </w:p>
        </w:tc>
        <w:tc>
          <w:tcPr>
            <w:tcW w:w="1080" w:type="dxa"/>
            <w:tcBorders>
              <w:top w:val="nil"/>
              <w:left w:val="nil"/>
              <w:bottom w:val="single" w:sz="4" w:space="0" w:color="auto"/>
              <w:right w:val="single" w:sz="4" w:space="0" w:color="auto"/>
            </w:tcBorders>
            <w:shd w:val="clear" w:color="auto" w:fill="auto"/>
            <w:noWrap/>
            <w:vAlign w:val="bottom"/>
            <w:hideMark/>
          </w:tcPr>
          <w:p w14:paraId="3DE3B3A0"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231</w:t>
            </w:r>
          </w:p>
        </w:tc>
        <w:tc>
          <w:tcPr>
            <w:tcW w:w="1080" w:type="dxa"/>
            <w:tcBorders>
              <w:top w:val="nil"/>
              <w:left w:val="nil"/>
              <w:bottom w:val="single" w:sz="4" w:space="0" w:color="auto"/>
              <w:right w:val="single" w:sz="4" w:space="0" w:color="auto"/>
            </w:tcBorders>
            <w:shd w:val="clear" w:color="auto" w:fill="auto"/>
            <w:noWrap/>
            <w:vAlign w:val="bottom"/>
            <w:hideMark/>
          </w:tcPr>
          <w:p w14:paraId="636EC815"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215</w:t>
            </w:r>
          </w:p>
        </w:tc>
        <w:tc>
          <w:tcPr>
            <w:tcW w:w="2084" w:type="dxa"/>
            <w:tcBorders>
              <w:top w:val="nil"/>
              <w:left w:val="nil"/>
              <w:bottom w:val="single" w:sz="4" w:space="0" w:color="auto"/>
              <w:right w:val="single" w:sz="4" w:space="0" w:color="auto"/>
            </w:tcBorders>
          </w:tcPr>
          <w:p w14:paraId="2BFEA7FE" w14:textId="77777777" w:rsidR="00051C55" w:rsidRPr="00BA129A" w:rsidRDefault="00051C55" w:rsidP="00EA1CD5">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Decreasing gain</w:t>
            </w:r>
          </w:p>
        </w:tc>
      </w:tr>
      <w:tr w:rsidR="00051C55" w:rsidRPr="00BA129A" w14:paraId="0CEFACB7" w14:textId="77777777" w:rsidTr="00EA1CD5">
        <w:trPr>
          <w:trHeight w:val="285"/>
        </w:trPr>
        <w:tc>
          <w:tcPr>
            <w:tcW w:w="2217" w:type="dxa"/>
            <w:tcBorders>
              <w:top w:val="nil"/>
              <w:left w:val="single" w:sz="4" w:space="0" w:color="auto"/>
              <w:bottom w:val="single" w:sz="4" w:space="0" w:color="auto"/>
              <w:right w:val="single" w:sz="4" w:space="0" w:color="auto"/>
            </w:tcBorders>
            <w:shd w:val="clear" w:color="auto" w:fill="auto"/>
            <w:noWrap/>
            <w:vAlign w:val="bottom"/>
            <w:hideMark/>
          </w:tcPr>
          <w:p w14:paraId="30DE8754" w14:textId="77777777" w:rsidR="00051C55" w:rsidRPr="00BA129A" w:rsidRDefault="00051C55" w:rsidP="00650A11">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20-24</w:t>
            </w:r>
          </w:p>
        </w:tc>
        <w:tc>
          <w:tcPr>
            <w:tcW w:w="1080" w:type="dxa"/>
            <w:tcBorders>
              <w:top w:val="nil"/>
              <w:left w:val="nil"/>
              <w:bottom w:val="single" w:sz="4" w:space="0" w:color="auto"/>
              <w:right w:val="single" w:sz="4" w:space="0" w:color="auto"/>
            </w:tcBorders>
            <w:shd w:val="clear" w:color="auto" w:fill="auto"/>
            <w:noWrap/>
            <w:vAlign w:val="bottom"/>
            <w:hideMark/>
          </w:tcPr>
          <w:p w14:paraId="63FA725D"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484</w:t>
            </w:r>
          </w:p>
        </w:tc>
        <w:tc>
          <w:tcPr>
            <w:tcW w:w="1080" w:type="dxa"/>
            <w:tcBorders>
              <w:top w:val="nil"/>
              <w:left w:val="nil"/>
              <w:bottom w:val="single" w:sz="4" w:space="0" w:color="auto"/>
              <w:right w:val="single" w:sz="4" w:space="0" w:color="auto"/>
            </w:tcBorders>
            <w:shd w:val="clear" w:color="auto" w:fill="auto"/>
            <w:noWrap/>
            <w:vAlign w:val="bottom"/>
            <w:hideMark/>
          </w:tcPr>
          <w:p w14:paraId="1A023341"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408</w:t>
            </w:r>
          </w:p>
        </w:tc>
        <w:tc>
          <w:tcPr>
            <w:tcW w:w="1080" w:type="dxa"/>
            <w:tcBorders>
              <w:top w:val="nil"/>
              <w:left w:val="nil"/>
              <w:bottom w:val="single" w:sz="4" w:space="0" w:color="auto"/>
              <w:right w:val="single" w:sz="4" w:space="0" w:color="auto"/>
            </w:tcBorders>
            <w:shd w:val="clear" w:color="auto" w:fill="auto"/>
            <w:noWrap/>
            <w:vAlign w:val="bottom"/>
            <w:hideMark/>
          </w:tcPr>
          <w:p w14:paraId="6174F371"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368</w:t>
            </w:r>
          </w:p>
        </w:tc>
        <w:tc>
          <w:tcPr>
            <w:tcW w:w="2084" w:type="dxa"/>
            <w:tcBorders>
              <w:top w:val="nil"/>
              <w:left w:val="nil"/>
              <w:bottom w:val="single" w:sz="4" w:space="0" w:color="auto"/>
              <w:right w:val="single" w:sz="4" w:space="0" w:color="auto"/>
            </w:tcBorders>
          </w:tcPr>
          <w:p w14:paraId="5EAC240B" w14:textId="77777777" w:rsidR="00051C55" w:rsidRPr="00BA129A" w:rsidRDefault="00051C55" w:rsidP="00EA1CD5">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Decreasing gain</w:t>
            </w:r>
          </w:p>
        </w:tc>
      </w:tr>
    </w:tbl>
    <w:p w14:paraId="39CFE1FB" w14:textId="77777777" w:rsidR="00830137" w:rsidRDefault="00830137" w:rsidP="00830137">
      <w:pPr>
        <w:spacing w:after="0" w:line="240" w:lineRule="auto"/>
        <w:rPr>
          <w:rFonts w:ascii="Arial" w:hAnsi="Arial" w:cs="Arial"/>
          <w:sz w:val="24"/>
          <w:szCs w:val="24"/>
        </w:rPr>
      </w:pPr>
    </w:p>
    <w:p w14:paraId="61C19F7A" w14:textId="0F71FE6C" w:rsidR="00051C55" w:rsidRDefault="00830137" w:rsidP="00830137">
      <w:pPr>
        <w:spacing w:after="0" w:line="240" w:lineRule="auto"/>
        <w:rPr>
          <w:rFonts w:ascii="Arial" w:hAnsi="Arial" w:cs="Arial"/>
          <w:sz w:val="24"/>
          <w:szCs w:val="24"/>
        </w:rPr>
      </w:pPr>
      <w:r w:rsidRPr="00BA129A">
        <w:rPr>
          <w:rFonts w:ascii="Arial" w:hAnsi="Arial" w:cs="Arial"/>
          <w:sz w:val="24"/>
          <w:szCs w:val="24"/>
        </w:rPr>
        <w:t>Overall net migration – there is a projected loss from 2019 to 2028 of the age ranges 0 to 4 and 5 to 9 and 15 to 19; and a projected gain of the age ranges 10 to 14 and 20 to 24.</w:t>
      </w:r>
    </w:p>
    <w:p w14:paraId="233A1C33" w14:textId="3F61F89C" w:rsidR="00830137" w:rsidRDefault="00830137" w:rsidP="00830137">
      <w:pPr>
        <w:spacing w:after="0" w:line="240" w:lineRule="auto"/>
        <w:rPr>
          <w:rFonts w:ascii="Arial" w:hAnsi="Arial" w:cs="Arial"/>
          <w:sz w:val="24"/>
          <w:szCs w:val="24"/>
        </w:rPr>
      </w:pPr>
    </w:p>
    <w:p w14:paraId="2C8B4BD8" w14:textId="77777777" w:rsidR="00D57275" w:rsidRPr="00BA129A" w:rsidRDefault="00D57275" w:rsidP="00830137">
      <w:pPr>
        <w:spacing w:after="0" w:line="240" w:lineRule="auto"/>
        <w:rPr>
          <w:rFonts w:ascii="Arial" w:hAnsi="Arial" w:cs="Arial"/>
          <w:sz w:val="24"/>
          <w:szCs w:val="24"/>
        </w:rPr>
      </w:pPr>
    </w:p>
    <w:tbl>
      <w:tblPr>
        <w:tblW w:w="6404" w:type="dxa"/>
        <w:tblInd w:w="93" w:type="dxa"/>
        <w:tblLook w:val="04A0" w:firstRow="1" w:lastRow="0" w:firstColumn="1" w:lastColumn="0" w:noHBand="0" w:noVBand="1"/>
      </w:tblPr>
      <w:tblGrid>
        <w:gridCol w:w="1080"/>
        <w:gridCol w:w="1080"/>
        <w:gridCol w:w="1080"/>
        <w:gridCol w:w="1080"/>
        <w:gridCol w:w="2084"/>
      </w:tblGrid>
      <w:tr w:rsidR="00051C55" w:rsidRPr="00BA129A" w14:paraId="618A9A81" w14:textId="77777777" w:rsidTr="00EA1CD5">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FF199" w14:textId="77777777" w:rsidR="00051C55" w:rsidRPr="00BA129A" w:rsidRDefault="00051C55" w:rsidP="00650A11">
            <w:pPr>
              <w:spacing w:after="0" w:line="240" w:lineRule="auto"/>
              <w:rPr>
                <w:rFonts w:ascii="Arial" w:eastAsia="Times New Roman" w:hAnsi="Arial" w:cs="Arial"/>
                <w:b/>
                <w:color w:val="000000"/>
                <w:sz w:val="24"/>
                <w:szCs w:val="24"/>
                <w:lang w:eastAsia="en-GB"/>
              </w:rPr>
            </w:pPr>
            <w:r w:rsidRPr="00BA129A">
              <w:rPr>
                <w:rFonts w:ascii="Arial" w:eastAsia="Times New Roman" w:hAnsi="Arial" w:cs="Arial"/>
                <w:b/>
                <w:color w:val="000000"/>
                <w:sz w:val="24"/>
                <w:szCs w:val="24"/>
                <w:lang w:eastAsia="en-GB"/>
              </w:rPr>
              <w:lastRenderedPageBreak/>
              <w:t>Net</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AB45219" w14:textId="77777777" w:rsidR="00051C55" w:rsidRPr="00BA129A" w:rsidRDefault="00051C55" w:rsidP="00650A11">
            <w:pPr>
              <w:spacing w:after="0" w:line="240" w:lineRule="auto"/>
              <w:jc w:val="center"/>
              <w:rPr>
                <w:rFonts w:ascii="Arial" w:eastAsia="Times New Roman" w:hAnsi="Arial" w:cs="Arial"/>
                <w:b/>
                <w:color w:val="000000"/>
                <w:sz w:val="24"/>
                <w:szCs w:val="24"/>
                <w:lang w:eastAsia="en-GB"/>
              </w:rPr>
            </w:pPr>
            <w:r w:rsidRPr="00BA129A">
              <w:rPr>
                <w:rFonts w:ascii="Arial" w:eastAsia="Times New Roman" w:hAnsi="Arial" w:cs="Arial"/>
                <w:b/>
                <w:color w:val="000000"/>
                <w:sz w:val="24"/>
                <w:szCs w:val="24"/>
                <w:lang w:eastAsia="en-GB"/>
              </w:rPr>
              <w:t>2019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2BE68EB" w14:textId="77777777" w:rsidR="00051C55" w:rsidRPr="00BA129A" w:rsidRDefault="00051C55" w:rsidP="00650A11">
            <w:pPr>
              <w:spacing w:after="0" w:line="240" w:lineRule="auto"/>
              <w:jc w:val="center"/>
              <w:rPr>
                <w:rFonts w:ascii="Arial" w:eastAsia="Times New Roman" w:hAnsi="Arial" w:cs="Arial"/>
                <w:b/>
                <w:color w:val="000000"/>
                <w:sz w:val="24"/>
                <w:szCs w:val="24"/>
                <w:lang w:eastAsia="en-GB"/>
              </w:rPr>
            </w:pPr>
            <w:r w:rsidRPr="00BA129A">
              <w:rPr>
                <w:rFonts w:ascii="Arial" w:eastAsia="Times New Roman" w:hAnsi="Arial" w:cs="Arial"/>
                <w:b/>
                <w:color w:val="000000"/>
                <w:sz w:val="24"/>
                <w:szCs w:val="24"/>
                <w:lang w:eastAsia="en-GB"/>
              </w:rPr>
              <w:t>2023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DCBBF0F" w14:textId="77777777" w:rsidR="00051C55" w:rsidRPr="00BA129A" w:rsidRDefault="00051C55" w:rsidP="00650A11">
            <w:pPr>
              <w:spacing w:after="0" w:line="240" w:lineRule="auto"/>
              <w:jc w:val="center"/>
              <w:rPr>
                <w:rFonts w:ascii="Arial" w:eastAsia="Times New Roman" w:hAnsi="Arial" w:cs="Arial"/>
                <w:b/>
                <w:color w:val="000000"/>
                <w:sz w:val="24"/>
                <w:szCs w:val="24"/>
                <w:lang w:eastAsia="en-GB"/>
              </w:rPr>
            </w:pPr>
            <w:r w:rsidRPr="00BA129A">
              <w:rPr>
                <w:rFonts w:ascii="Arial" w:eastAsia="Times New Roman" w:hAnsi="Arial" w:cs="Arial"/>
                <w:b/>
                <w:color w:val="000000"/>
                <w:sz w:val="24"/>
                <w:szCs w:val="24"/>
                <w:lang w:eastAsia="en-GB"/>
              </w:rPr>
              <w:t>2028</w:t>
            </w:r>
          </w:p>
        </w:tc>
        <w:tc>
          <w:tcPr>
            <w:tcW w:w="2084" w:type="dxa"/>
            <w:tcBorders>
              <w:top w:val="single" w:sz="4" w:space="0" w:color="auto"/>
              <w:left w:val="nil"/>
              <w:bottom w:val="single" w:sz="4" w:space="0" w:color="auto"/>
              <w:right w:val="single" w:sz="4" w:space="0" w:color="auto"/>
            </w:tcBorders>
            <w:vAlign w:val="center"/>
          </w:tcPr>
          <w:p w14:paraId="0C6D8B6D" w14:textId="77777777" w:rsidR="00051C55" w:rsidRPr="00BA129A" w:rsidRDefault="00051C55" w:rsidP="00EA1CD5">
            <w:pPr>
              <w:spacing w:after="0" w:line="240" w:lineRule="auto"/>
              <w:rPr>
                <w:rFonts w:ascii="Arial" w:eastAsia="Times New Roman" w:hAnsi="Arial" w:cs="Arial"/>
                <w:b/>
                <w:color w:val="000000"/>
                <w:sz w:val="24"/>
                <w:szCs w:val="24"/>
                <w:lang w:eastAsia="en-GB"/>
              </w:rPr>
            </w:pPr>
            <w:r w:rsidRPr="00BA129A">
              <w:rPr>
                <w:rFonts w:ascii="Arial" w:eastAsia="Times New Roman" w:hAnsi="Arial" w:cs="Arial"/>
                <w:b/>
                <w:color w:val="000000"/>
                <w:sz w:val="24"/>
                <w:szCs w:val="24"/>
                <w:lang w:eastAsia="en-GB"/>
              </w:rPr>
              <w:t>Direction</w:t>
            </w:r>
          </w:p>
        </w:tc>
      </w:tr>
      <w:tr w:rsidR="00051C55" w:rsidRPr="00BA129A" w14:paraId="5CB96819" w14:textId="77777777" w:rsidTr="00EA1CD5">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D5632C3" w14:textId="77777777" w:rsidR="00051C55" w:rsidRPr="00BA129A" w:rsidRDefault="00051C55" w:rsidP="00650A11">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0-4</w:t>
            </w:r>
          </w:p>
        </w:tc>
        <w:tc>
          <w:tcPr>
            <w:tcW w:w="1080" w:type="dxa"/>
            <w:tcBorders>
              <w:top w:val="nil"/>
              <w:left w:val="nil"/>
              <w:bottom w:val="single" w:sz="4" w:space="0" w:color="auto"/>
              <w:right w:val="single" w:sz="4" w:space="0" w:color="auto"/>
            </w:tcBorders>
            <w:shd w:val="clear" w:color="auto" w:fill="auto"/>
            <w:noWrap/>
            <w:vAlign w:val="center"/>
            <w:hideMark/>
          </w:tcPr>
          <w:p w14:paraId="0EE62BE6"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-73</w:t>
            </w:r>
          </w:p>
        </w:tc>
        <w:tc>
          <w:tcPr>
            <w:tcW w:w="1080" w:type="dxa"/>
            <w:tcBorders>
              <w:top w:val="nil"/>
              <w:left w:val="nil"/>
              <w:bottom w:val="single" w:sz="4" w:space="0" w:color="auto"/>
              <w:right w:val="single" w:sz="4" w:space="0" w:color="auto"/>
            </w:tcBorders>
            <w:shd w:val="clear" w:color="auto" w:fill="auto"/>
            <w:noWrap/>
            <w:vAlign w:val="center"/>
            <w:hideMark/>
          </w:tcPr>
          <w:p w14:paraId="2F2ECDDA"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-50</w:t>
            </w:r>
          </w:p>
        </w:tc>
        <w:tc>
          <w:tcPr>
            <w:tcW w:w="1080" w:type="dxa"/>
            <w:tcBorders>
              <w:top w:val="nil"/>
              <w:left w:val="nil"/>
              <w:bottom w:val="single" w:sz="4" w:space="0" w:color="auto"/>
              <w:right w:val="single" w:sz="4" w:space="0" w:color="auto"/>
            </w:tcBorders>
            <w:shd w:val="clear" w:color="auto" w:fill="auto"/>
            <w:noWrap/>
            <w:vAlign w:val="center"/>
            <w:hideMark/>
          </w:tcPr>
          <w:p w14:paraId="319BFFFC"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-27</w:t>
            </w:r>
          </w:p>
        </w:tc>
        <w:tc>
          <w:tcPr>
            <w:tcW w:w="2084" w:type="dxa"/>
            <w:tcBorders>
              <w:top w:val="nil"/>
              <w:left w:val="nil"/>
              <w:bottom w:val="single" w:sz="4" w:space="0" w:color="auto"/>
              <w:right w:val="single" w:sz="4" w:space="0" w:color="auto"/>
            </w:tcBorders>
            <w:vAlign w:val="center"/>
          </w:tcPr>
          <w:p w14:paraId="48B82D94" w14:textId="77777777" w:rsidR="00051C55" w:rsidRPr="00BA129A" w:rsidRDefault="00051C55" w:rsidP="00EA1CD5">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Decreasing loss</w:t>
            </w:r>
          </w:p>
        </w:tc>
      </w:tr>
      <w:tr w:rsidR="00051C55" w:rsidRPr="00BA129A" w14:paraId="210D76D5" w14:textId="77777777" w:rsidTr="00EA1CD5">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FDB5F0C" w14:textId="77777777" w:rsidR="00051C55" w:rsidRPr="00BA129A" w:rsidRDefault="00051C55" w:rsidP="00650A11">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5-9</w:t>
            </w:r>
          </w:p>
        </w:tc>
        <w:tc>
          <w:tcPr>
            <w:tcW w:w="1080" w:type="dxa"/>
            <w:tcBorders>
              <w:top w:val="nil"/>
              <w:left w:val="nil"/>
              <w:bottom w:val="single" w:sz="4" w:space="0" w:color="auto"/>
              <w:right w:val="single" w:sz="4" w:space="0" w:color="auto"/>
            </w:tcBorders>
            <w:shd w:val="clear" w:color="auto" w:fill="auto"/>
            <w:noWrap/>
            <w:vAlign w:val="center"/>
            <w:hideMark/>
          </w:tcPr>
          <w:p w14:paraId="2DDA32A4"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-174</w:t>
            </w:r>
          </w:p>
        </w:tc>
        <w:tc>
          <w:tcPr>
            <w:tcW w:w="1080" w:type="dxa"/>
            <w:tcBorders>
              <w:top w:val="nil"/>
              <w:left w:val="nil"/>
              <w:bottom w:val="single" w:sz="4" w:space="0" w:color="auto"/>
              <w:right w:val="single" w:sz="4" w:space="0" w:color="auto"/>
            </w:tcBorders>
            <w:shd w:val="clear" w:color="auto" w:fill="auto"/>
            <w:noWrap/>
            <w:vAlign w:val="center"/>
            <w:hideMark/>
          </w:tcPr>
          <w:p w14:paraId="26D58AE8"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-212</w:t>
            </w:r>
          </w:p>
        </w:tc>
        <w:tc>
          <w:tcPr>
            <w:tcW w:w="1080" w:type="dxa"/>
            <w:tcBorders>
              <w:top w:val="nil"/>
              <w:left w:val="nil"/>
              <w:bottom w:val="single" w:sz="4" w:space="0" w:color="auto"/>
              <w:right w:val="single" w:sz="4" w:space="0" w:color="auto"/>
            </w:tcBorders>
            <w:shd w:val="clear" w:color="auto" w:fill="auto"/>
            <w:noWrap/>
            <w:vAlign w:val="center"/>
            <w:hideMark/>
          </w:tcPr>
          <w:p w14:paraId="693EAB23"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-173</w:t>
            </w:r>
          </w:p>
        </w:tc>
        <w:tc>
          <w:tcPr>
            <w:tcW w:w="2084" w:type="dxa"/>
            <w:tcBorders>
              <w:top w:val="nil"/>
              <w:left w:val="nil"/>
              <w:bottom w:val="single" w:sz="4" w:space="0" w:color="auto"/>
              <w:right w:val="single" w:sz="4" w:space="0" w:color="auto"/>
            </w:tcBorders>
            <w:vAlign w:val="center"/>
          </w:tcPr>
          <w:p w14:paraId="24385B26" w14:textId="77777777" w:rsidR="00051C55" w:rsidRPr="00BA129A" w:rsidRDefault="00051C55" w:rsidP="00EA1CD5">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Stable loss</w:t>
            </w:r>
          </w:p>
        </w:tc>
      </w:tr>
      <w:tr w:rsidR="00051C55" w:rsidRPr="00BA129A" w14:paraId="76C76886" w14:textId="77777777" w:rsidTr="00EA1CD5">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C947B6F" w14:textId="77777777" w:rsidR="00051C55" w:rsidRPr="00BA129A" w:rsidRDefault="00051C55" w:rsidP="00650A11">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10-14</w:t>
            </w:r>
          </w:p>
        </w:tc>
        <w:tc>
          <w:tcPr>
            <w:tcW w:w="1080" w:type="dxa"/>
            <w:tcBorders>
              <w:top w:val="nil"/>
              <w:left w:val="nil"/>
              <w:bottom w:val="single" w:sz="4" w:space="0" w:color="auto"/>
              <w:right w:val="single" w:sz="4" w:space="0" w:color="auto"/>
            </w:tcBorders>
            <w:shd w:val="clear" w:color="auto" w:fill="auto"/>
            <w:noWrap/>
            <w:vAlign w:val="center"/>
            <w:hideMark/>
          </w:tcPr>
          <w:p w14:paraId="075011B1"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85</w:t>
            </w:r>
          </w:p>
        </w:tc>
        <w:tc>
          <w:tcPr>
            <w:tcW w:w="1080" w:type="dxa"/>
            <w:tcBorders>
              <w:top w:val="nil"/>
              <w:left w:val="nil"/>
              <w:bottom w:val="single" w:sz="4" w:space="0" w:color="auto"/>
              <w:right w:val="single" w:sz="4" w:space="0" w:color="auto"/>
            </w:tcBorders>
            <w:shd w:val="clear" w:color="auto" w:fill="auto"/>
            <w:noWrap/>
            <w:vAlign w:val="center"/>
            <w:hideMark/>
          </w:tcPr>
          <w:p w14:paraId="25C367E7"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62</w:t>
            </w:r>
          </w:p>
        </w:tc>
        <w:tc>
          <w:tcPr>
            <w:tcW w:w="1080" w:type="dxa"/>
            <w:tcBorders>
              <w:top w:val="nil"/>
              <w:left w:val="nil"/>
              <w:bottom w:val="single" w:sz="4" w:space="0" w:color="auto"/>
              <w:right w:val="single" w:sz="4" w:space="0" w:color="auto"/>
            </w:tcBorders>
            <w:shd w:val="clear" w:color="auto" w:fill="auto"/>
            <w:noWrap/>
            <w:vAlign w:val="center"/>
            <w:hideMark/>
          </w:tcPr>
          <w:p w14:paraId="5475D006"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38</w:t>
            </w:r>
          </w:p>
        </w:tc>
        <w:tc>
          <w:tcPr>
            <w:tcW w:w="2084" w:type="dxa"/>
            <w:tcBorders>
              <w:top w:val="nil"/>
              <w:left w:val="nil"/>
              <w:bottom w:val="single" w:sz="4" w:space="0" w:color="auto"/>
              <w:right w:val="single" w:sz="4" w:space="0" w:color="auto"/>
            </w:tcBorders>
            <w:vAlign w:val="center"/>
          </w:tcPr>
          <w:p w14:paraId="46BA5E7B" w14:textId="77777777" w:rsidR="00051C55" w:rsidRPr="00BA129A" w:rsidRDefault="00051C55" w:rsidP="00EA1CD5">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Decreasing gain</w:t>
            </w:r>
          </w:p>
        </w:tc>
      </w:tr>
      <w:tr w:rsidR="00051C55" w:rsidRPr="00BA129A" w14:paraId="760A297E" w14:textId="77777777" w:rsidTr="00EA1CD5">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B01E6B2" w14:textId="77777777" w:rsidR="00051C55" w:rsidRPr="00BA129A" w:rsidRDefault="00051C55" w:rsidP="00650A11">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15-19</w:t>
            </w:r>
          </w:p>
        </w:tc>
        <w:tc>
          <w:tcPr>
            <w:tcW w:w="1080" w:type="dxa"/>
            <w:tcBorders>
              <w:top w:val="nil"/>
              <w:left w:val="nil"/>
              <w:bottom w:val="single" w:sz="4" w:space="0" w:color="auto"/>
              <w:right w:val="single" w:sz="4" w:space="0" w:color="auto"/>
            </w:tcBorders>
            <w:shd w:val="clear" w:color="auto" w:fill="auto"/>
            <w:noWrap/>
            <w:vAlign w:val="center"/>
            <w:hideMark/>
          </w:tcPr>
          <w:p w14:paraId="72FC2AFB"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-1,293</w:t>
            </w:r>
          </w:p>
        </w:tc>
        <w:tc>
          <w:tcPr>
            <w:tcW w:w="1080" w:type="dxa"/>
            <w:tcBorders>
              <w:top w:val="nil"/>
              <w:left w:val="nil"/>
              <w:bottom w:val="single" w:sz="4" w:space="0" w:color="auto"/>
              <w:right w:val="single" w:sz="4" w:space="0" w:color="auto"/>
            </w:tcBorders>
            <w:shd w:val="clear" w:color="auto" w:fill="auto"/>
            <w:noWrap/>
            <w:vAlign w:val="center"/>
            <w:hideMark/>
          </w:tcPr>
          <w:p w14:paraId="4F09C3BD"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-1,324</w:t>
            </w:r>
          </w:p>
        </w:tc>
        <w:tc>
          <w:tcPr>
            <w:tcW w:w="1080" w:type="dxa"/>
            <w:tcBorders>
              <w:top w:val="nil"/>
              <w:left w:val="nil"/>
              <w:bottom w:val="single" w:sz="4" w:space="0" w:color="auto"/>
              <w:right w:val="single" w:sz="4" w:space="0" w:color="auto"/>
            </w:tcBorders>
            <w:shd w:val="clear" w:color="auto" w:fill="auto"/>
            <w:noWrap/>
            <w:vAlign w:val="center"/>
            <w:hideMark/>
          </w:tcPr>
          <w:p w14:paraId="44A6FA82"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-1,413</w:t>
            </w:r>
          </w:p>
        </w:tc>
        <w:tc>
          <w:tcPr>
            <w:tcW w:w="2084" w:type="dxa"/>
            <w:tcBorders>
              <w:top w:val="nil"/>
              <w:left w:val="nil"/>
              <w:bottom w:val="single" w:sz="4" w:space="0" w:color="auto"/>
              <w:right w:val="single" w:sz="4" w:space="0" w:color="auto"/>
            </w:tcBorders>
            <w:vAlign w:val="center"/>
          </w:tcPr>
          <w:p w14:paraId="54E526B1" w14:textId="77777777" w:rsidR="00051C55" w:rsidRPr="00BA129A" w:rsidRDefault="00051C55" w:rsidP="00EA1CD5">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Increasing loss</w:t>
            </w:r>
          </w:p>
        </w:tc>
      </w:tr>
      <w:tr w:rsidR="00051C55" w:rsidRPr="00BA129A" w14:paraId="438EFA47" w14:textId="77777777" w:rsidTr="00EA1CD5">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EE6B4C4" w14:textId="77777777" w:rsidR="00051C55" w:rsidRPr="00BA129A" w:rsidRDefault="00051C55" w:rsidP="00650A11">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20-24</w:t>
            </w:r>
          </w:p>
        </w:tc>
        <w:tc>
          <w:tcPr>
            <w:tcW w:w="1080" w:type="dxa"/>
            <w:tcBorders>
              <w:top w:val="nil"/>
              <w:left w:val="nil"/>
              <w:bottom w:val="single" w:sz="4" w:space="0" w:color="auto"/>
              <w:right w:val="single" w:sz="4" w:space="0" w:color="auto"/>
            </w:tcBorders>
            <w:shd w:val="clear" w:color="auto" w:fill="auto"/>
            <w:noWrap/>
            <w:vAlign w:val="center"/>
            <w:hideMark/>
          </w:tcPr>
          <w:p w14:paraId="73B1B5EA"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1,095</w:t>
            </w:r>
          </w:p>
        </w:tc>
        <w:tc>
          <w:tcPr>
            <w:tcW w:w="1080" w:type="dxa"/>
            <w:tcBorders>
              <w:top w:val="nil"/>
              <w:left w:val="nil"/>
              <w:bottom w:val="single" w:sz="4" w:space="0" w:color="auto"/>
              <w:right w:val="single" w:sz="4" w:space="0" w:color="auto"/>
            </w:tcBorders>
            <w:shd w:val="clear" w:color="auto" w:fill="auto"/>
            <w:noWrap/>
            <w:vAlign w:val="center"/>
            <w:hideMark/>
          </w:tcPr>
          <w:p w14:paraId="039CD5D0"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1,338</w:t>
            </w:r>
          </w:p>
        </w:tc>
        <w:tc>
          <w:tcPr>
            <w:tcW w:w="1080" w:type="dxa"/>
            <w:tcBorders>
              <w:top w:val="nil"/>
              <w:left w:val="nil"/>
              <w:bottom w:val="single" w:sz="4" w:space="0" w:color="auto"/>
              <w:right w:val="single" w:sz="4" w:space="0" w:color="auto"/>
            </w:tcBorders>
            <w:shd w:val="clear" w:color="auto" w:fill="auto"/>
            <w:noWrap/>
            <w:vAlign w:val="center"/>
            <w:hideMark/>
          </w:tcPr>
          <w:p w14:paraId="32C32D28" w14:textId="77777777" w:rsidR="00051C55" w:rsidRPr="00BA129A" w:rsidRDefault="00051C55" w:rsidP="00650A11">
            <w:pPr>
              <w:spacing w:after="0" w:line="240" w:lineRule="auto"/>
              <w:jc w:val="center"/>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1,446</w:t>
            </w:r>
          </w:p>
        </w:tc>
        <w:tc>
          <w:tcPr>
            <w:tcW w:w="2084" w:type="dxa"/>
            <w:tcBorders>
              <w:top w:val="nil"/>
              <w:left w:val="nil"/>
              <w:bottom w:val="single" w:sz="4" w:space="0" w:color="auto"/>
              <w:right w:val="single" w:sz="4" w:space="0" w:color="auto"/>
            </w:tcBorders>
            <w:vAlign w:val="center"/>
          </w:tcPr>
          <w:p w14:paraId="04A831E6" w14:textId="77777777" w:rsidR="00051C55" w:rsidRPr="00BA129A" w:rsidRDefault="00051C55" w:rsidP="00EA1CD5">
            <w:pPr>
              <w:spacing w:after="0" w:line="240" w:lineRule="auto"/>
              <w:rPr>
                <w:rFonts w:ascii="Arial" w:eastAsia="Times New Roman" w:hAnsi="Arial" w:cs="Arial"/>
                <w:color w:val="000000"/>
                <w:sz w:val="24"/>
                <w:szCs w:val="24"/>
                <w:lang w:eastAsia="en-GB"/>
              </w:rPr>
            </w:pPr>
            <w:r w:rsidRPr="00BA129A">
              <w:rPr>
                <w:rFonts w:ascii="Arial" w:eastAsia="Times New Roman" w:hAnsi="Arial" w:cs="Arial"/>
                <w:color w:val="000000"/>
                <w:sz w:val="24"/>
                <w:szCs w:val="24"/>
                <w:lang w:eastAsia="en-GB"/>
              </w:rPr>
              <w:t>Increasing gain</w:t>
            </w:r>
          </w:p>
        </w:tc>
      </w:tr>
    </w:tbl>
    <w:p w14:paraId="2432BE09" w14:textId="77777777" w:rsidR="00EC6388" w:rsidRPr="00BA129A" w:rsidRDefault="00EC6388" w:rsidP="00932AFF">
      <w:pPr>
        <w:spacing w:after="0" w:line="240" w:lineRule="auto"/>
        <w:rPr>
          <w:rFonts w:ascii="Arial" w:hAnsi="Arial" w:cs="Arial"/>
          <w:noProof/>
          <w:sz w:val="24"/>
          <w:szCs w:val="24"/>
          <w:lang w:eastAsia="en-GB"/>
        </w:rPr>
      </w:pPr>
    </w:p>
    <w:p w14:paraId="5D290BCF" w14:textId="19326659" w:rsidR="00F90131" w:rsidRPr="00864A84" w:rsidRDefault="00F14037" w:rsidP="00864A84">
      <w:pPr>
        <w:autoSpaceDE w:val="0"/>
        <w:autoSpaceDN w:val="0"/>
        <w:adjustRightInd w:val="0"/>
        <w:spacing w:after="0"/>
        <w:rPr>
          <w:rFonts w:ascii="Arial" w:hAnsi="Arial" w:cs="Arial"/>
          <w:sz w:val="24"/>
          <w:szCs w:val="24"/>
        </w:rPr>
      </w:pPr>
      <w:r w:rsidRPr="00657C28">
        <w:rPr>
          <w:rFonts w:ascii="Arial" w:hAnsi="Arial" w:cs="Arial"/>
          <w:sz w:val="24"/>
          <w:szCs w:val="24"/>
        </w:rPr>
        <w:t xml:space="preserve">It should be noted that these projections are purely based on past trends, so any impacts that Brexit </w:t>
      </w:r>
      <w:r w:rsidR="00EC6952">
        <w:rPr>
          <w:rFonts w:ascii="Arial" w:hAnsi="Arial" w:cs="Arial"/>
          <w:sz w:val="24"/>
          <w:szCs w:val="24"/>
        </w:rPr>
        <w:t xml:space="preserve">or the Covid-19 pandemic </w:t>
      </w:r>
      <w:r w:rsidRPr="00657C28">
        <w:rPr>
          <w:rFonts w:ascii="Arial" w:hAnsi="Arial" w:cs="Arial"/>
          <w:sz w:val="24"/>
          <w:szCs w:val="24"/>
        </w:rPr>
        <w:t xml:space="preserve">may have on future migration levels (or as a result of any other </w:t>
      </w:r>
      <w:r w:rsidR="0012271B">
        <w:rPr>
          <w:rFonts w:ascii="Arial" w:hAnsi="Arial" w:cs="Arial"/>
          <w:sz w:val="24"/>
          <w:szCs w:val="24"/>
        </w:rPr>
        <w:fldChar w:fldCharType="begin"/>
      </w:r>
      <w:r w:rsidR="0012271B">
        <w:rPr>
          <w:rFonts w:ascii="Arial" w:hAnsi="Arial" w:cs="Arial"/>
          <w:sz w:val="24"/>
          <w:szCs w:val="24"/>
        </w:rPr>
        <w:instrText xml:space="preserve">  </w:instrText>
      </w:r>
      <w:r w:rsidR="0012271B">
        <w:rPr>
          <w:rFonts w:ascii="Arial" w:hAnsi="Arial" w:cs="Arial"/>
          <w:sz w:val="24"/>
          <w:szCs w:val="24"/>
        </w:rPr>
        <w:fldChar w:fldCharType="end"/>
      </w:r>
      <w:r w:rsidRPr="00657C28">
        <w:rPr>
          <w:rFonts w:ascii="Arial" w:hAnsi="Arial" w:cs="Arial"/>
          <w:sz w:val="24"/>
          <w:szCs w:val="24"/>
        </w:rPr>
        <w:t>changes in government policies or economic circumstances) are not considered.</w:t>
      </w:r>
    </w:p>
    <w:sectPr w:rsidR="00F90131" w:rsidRPr="00864A84" w:rsidSect="006452B3">
      <w:headerReference w:type="default" r:id="rId15"/>
      <w:footerReference w:type="default" r:id="rId16"/>
      <w:pgSz w:w="11906" w:h="16838" w:code="9"/>
      <w:pgMar w:top="737" w:right="737" w:bottom="737" w:left="737"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90C99" w14:textId="77777777" w:rsidR="002100A2" w:rsidRDefault="002100A2" w:rsidP="002100A2">
      <w:pPr>
        <w:spacing w:after="0" w:line="240" w:lineRule="auto"/>
      </w:pPr>
      <w:r>
        <w:separator/>
      </w:r>
    </w:p>
  </w:endnote>
  <w:endnote w:type="continuationSeparator" w:id="0">
    <w:p w14:paraId="5D290C9A" w14:textId="77777777" w:rsidR="002100A2" w:rsidRDefault="002100A2" w:rsidP="00210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 Form Sans">
    <w:altName w:val="Bell MT"/>
    <w:charset w:val="00"/>
    <w:family w:val="auto"/>
    <w:pitch w:val="variable"/>
    <w:sig w:usb0="00000003" w:usb1="0000004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90C9D" w14:textId="3749E8A4" w:rsidR="00151167" w:rsidRPr="009A75E5" w:rsidRDefault="009A75E5" w:rsidP="009A75E5">
    <w:pPr>
      <w:pStyle w:val="Footer"/>
      <w:rPr>
        <w:rFonts w:ascii="Arial" w:hAnsi="Arial" w:cs="Arial"/>
      </w:rPr>
    </w:pPr>
    <w:r w:rsidRPr="009A75E5">
      <w:rPr>
        <w:rFonts w:ascii="Arial" w:hAnsi="Arial" w:cs="Arial"/>
      </w:rPr>
      <w:t xml:space="preserve">Produced by </w:t>
    </w:r>
    <w:r w:rsidR="006377C7">
      <w:rPr>
        <w:rFonts w:ascii="Arial" w:hAnsi="Arial" w:cs="Arial"/>
      </w:rPr>
      <w:t xml:space="preserve">The </w:t>
    </w:r>
    <w:r w:rsidRPr="009A75E5">
      <w:rPr>
        <w:rFonts w:ascii="Arial" w:hAnsi="Arial" w:cs="Arial"/>
      </w:rPr>
      <w:t xml:space="preserve">Education </w:t>
    </w:r>
    <w:r w:rsidR="006377C7">
      <w:rPr>
        <w:rFonts w:ascii="Arial" w:hAnsi="Arial" w:cs="Arial"/>
      </w:rPr>
      <w:t xml:space="preserve">Performance </w:t>
    </w:r>
    <w:r w:rsidRPr="009A75E5">
      <w:rPr>
        <w:rFonts w:ascii="Arial" w:hAnsi="Arial" w:cs="Arial"/>
      </w:rPr>
      <w:t>Team</w:t>
    </w:r>
    <w:r w:rsidR="00A7163C">
      <w:rPr>
        <w:rFonts w:ascii="Arial" w:hAnsi="Arial" w:cs="Arial"/>
      </w:rPr>
      <w:t>, BIU</w:t>
    </w:r>
    <w:r w:rsidRPr="009A75E5">
      <w:rPr>
        <w:rFonts w:ascii="Arial" w:hAnsi="Arial" w:cs="Arial"/>
      </w:rPr>
      <w:tab/>
      <w:t xml:space="preserve">                        </w:t>
    </w:r>
    <w:sdt>
      <w:sdtPr>
        <w:rPr>
          <w:rFonts w:ascii="Arial" w:hAnsi="Arial" w:cs="Arial"/>
        </w:rPr>
        <w:id w:val="1509566740"/>
        <w:docPartObj>
          <w:docPartGallery w:val="Page Numbers (Bottom of Page)"/>
          <w:docPartUnique/>
        </w:docPartObj>
      </w:sdtPr>
      <w:sdtEndPr>
        <w:rPr>
          <w:noProof/>
        </w:rPr>
      </w:sdtEndPr>
      <w:sdtContent>
        <w:r w:rsidR="00151167" w:rsidRPr="009A75E5">
          <w:rPr>
            <w:rFonts w:ascii="Arial" w:hAnsi="Arial" w:cs="Arial"/>
          </w:rPr>
          <w:fldChar w:fldCharType="begin"/>
        </w:r>
        <w:r w:rsidR="00151167" w:rsidRPr="009A75E5">
          <w:rPr>
            <w:rFonts w:ascii="Arial" w:hAnsi="Arial" w:cs="Arial"/>
          </w:rPr>
          <w:instrText xml:space="preserve"> PAGE   \* MERGEFORMAT </w:instrText>
        </w:r>
        <w:r w:rsidR="00151167" w:rsidRPr="009A75E5">
          <w:rPr>
            <w:rFonts w:ascii="Arial" w:hAnsi="Arial" w:cs="Arial"/>
          </w:rPr>
          <w:fldChar w:fldCharType="separate"/>
        </w:r>
        <w:r w:rsidR="00CD419C">
          <w:rPr>
            <w:rFonts w:ascii="Arial" w:hAnsi="Arial" w:cs="Arial"/>
            <w:noProof/>
          </w:rPr>
          <w:t>1</w:t>
        </w:r>
        <w:r w:rsidR="00151167" w:rsidRPr="009A75E5">
          <w:rPr>
            <w:rFonts w:ascii="Arial" w:hAnsi="Arial" w:cs="Arial"/>
            <w:noProof/>
          </w:rPr>
          <w:fldChar w:fldCharType="end"/>
        </w:r>
      </w:sdtContent>
    </w:sdt>
  </w:p>
  <w:p w14:paraId="5D290C9E" w14:textId="77777777" w:rsidR="00151167" w:rsidRDefault="00151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90C97" w14:textId="77777777" w:rsidR="002100A2" w:rsidRDefault="002100A2" w:rsidP="002100A2">
      <w:pPr>
        <w:spacing w:after="0" w:line="240" w:lineRule="auto"/>
      </w:pPr>
      <w:r>
        <w:separator/>
      </w:r>
    </w:p>
  </w:footnote>
  <w:footnote w:type="continuationSeparator" w:id="0">
    <w:p w14:paraId="5D290C98" w14:textId="77777777" w:rsidR="002100A2" w:rsidRDefault="002100A2" w:rsidP="00210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90C9C" w14:textId="51D252A6" w:rsidR="009A75E5" w:rsidRPr="006009C6" w:rsidRDefault="009A75E5" w:rsidP="006009C6">
    <w:pPr>
      <w:spacing w:after="0" w:line="240" w:lineRule="auto"/>
      <w:rPr>
        <w:rFonts w:ascii="Arial" w:hAnsi="Arial" w:cs="Arial"/>
        <w:b/>
        <w:i/>
        <w:sz w:val="24"/>
        <w:szCs w:val="24"/>
      </w:rPr>
    </w:pPr>
    <w:r w:rsidRPr="00D21D75">
      <w:rPr>
        <w:rFonts w:ascii="Arial" w:hAnsi="Arial" w:cs="Arial"/>
        <w:b/>
        <w:i/>
        <w:sz w:val="24"/>
        <w:szCs w:val="24"/>
      </w:rPr>
      <w:t>School Roll Projections 20</w:t>
    </w:r>
    <w:r w:rsidR="00A13DDA">
      <w:rPr>
        <w:rFonts w:ascii="Arial" w:hAnsi="Arial" w:cs="Arial"/>
        <w:b/>
        <w:i/>
        <w:sz w:val="24"/>
        <w:szCs w:val="24"/>
      </w:rPr>
      <w:t>2</w:t>
    </w:r>
    <w:r w:rsidR="003755B6">
      <w:rPr>
        <w:rFonts w:ascii="Arial" w:hAnsi="Arial" w:cs="Arial"/>
        <w:b/>
        <w:i/>
        <w:sz w:val="24"/>
        <w:szCs w:val="24"/>
      </w:rPr>
      <w:t>1</w:t>
    </w:r>
    <w:r w:rsidRPr="00D21D75">
      <w:rPr>
        <w:rFonts w:ascii="Arial" w:hAnsi="Arial" w:cs="Arial"/>
        <w:b/>
        <w:i/>
        <w:sz w:val="24"/>
        <w:szCs w:val="24"/>
      </w:rPr>
      <w:t>-203</w:t>
    </w:r>
    <w:r w:rsidR="003755B6">
      <w:rPr>
        <w:rFonts w:ascii="Arial" w:hAnsi="Arial" w:cs="Arial"/>
        <w:b/>
        <w:i/>
        <w:sz w:val="24"/>
        <w:szCs w:val="24"/>
      </w:rPr>
      <w:t>3</w:t>
    </w:r>
    <w:r w:rsidR="006009C6">
      <w:rPr>
        <w:rFonts w:ascii="Arial" w:hAnsi="Arial" w:cs="Arial"/>
        <w:b/>
        <w:i/>
        <w:sz w:val="24"/>
        <w:szCs w:val="24"/>
      </w:rPr>
      <w:tab/>
    </w:r>
    <w:r w:rsidR="006009C6">
      <w:rPr>
        <w:rFonts w:ascii="Arial" w:hAnsi="Arial" w:cs="Arial"/>
        <w:b/>
        <w:i/>
        <w:sz w:val="24"/>
        <w:szCs w:val="24"/>
      </w:rPr>
      <w:tab/>
    </w:r>
    <w:r w:rsidR="006009C6">
      <w:rPr>
        <w:rFonts w:ascii="Arial" w:hAnsi="Arial" w:cs="Arial"/>
        <w:b/>
        <w:i/>
        <w:sz w:val="24"/>
        <w:szCs w:val="24"/>
      </w:rPr>
      <w:tab/>
    </w:r>
    <w:r w:rsidR="006009C6">
      <w:rPr>
        <w:rFonts w:ascii="Arial" w:hAnsi="Arial" w:cs="Arial"/>
        <w:b/>
        <w:i/>
        <w:sz w:val="24"/>
        <w:szCs w:val="24"/>
      </w:rPr>
      <w:tab/>
    </w:r>
    <w:r w:rsidR="006009C6">
      <w:rPr>
        <w:rFonts w:ascii="Arial" w:hAnsi="Arial" w:cs="Arial"/>
        <w:b/>
        <w:i/>
        <w:sz w:val="24"/>
        <w:szCs w:val="24"/>
      </w:rPr>
      <w:tab/>
    </w:r>
    <w:r w:rsidR="006009C6">
      <w:rPr>
        <w:rFonts w:ascii="Arial" w:hAnsi="Arial" w:cs="Arial"/>
        <w:b/>
        <w:i/>
        <w:sz w:val="24"/>
        <w:szCs w:val="24"/>
      </w:rPr>
      <w:tab/>
    </w:r>
    <w:r w:rsidR="006009C6">
      <w:rPr>
        <w:rFonts w:ascii="Arial" w:hAnsi="Arial" w:cs="Arial"/>
        <w:b/>
        <w:i/>
        <w:sz w:val="24"/>
        <w:szCs w:val="24"/>
      </w:rPr>
      <w:tab/>
    </w:r>
    <w:r w:rsidR="006009C6">
      <w:rPr>
        <w:rFonts w:ascii="Arial" w:hAnsi="Arial" w:cs="Arial"/>
        <w:b/>
        <w:i/>
        <w:sz w:val="24"/>
        <w:szCs w:val="24"/>
      </w:rPr>
      <w:tab/>
    </w:r>
    <w:r w:rsidR="00B0650F">
      <w:rPr>
        <w:rFonts w:ascii="Arial" w:hAnsi="Arial" w:cs="Arial"/>
        <w:b/>
        <w:i/>
        <w:sz w:val="24"/>
        <w:szCs w:val="24"/>
      </w:rPr>
      <w:t>Annexe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B48C3"/>
    <w:multiLevelType w:val="hybridMultilevel"/>
    <w:tmpl w:val="0018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4D1EDF"/>
    <w:multiLevelType w:val="hybridMultilevel"/>
    <w:tmpl w:val="F7446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913683"/>
    <w:multiLevelType w:val="hybridMultilevel"/>
    <w:tmpl w:val="B45CE13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803BD6"/>
    <w:multiLevelType w:val="hybridMultilevel"/>
    <w:tmpl w:val="43D80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9F3D1B"/>
    <w:multiLevelType w:val="hybridMultilevel"/>
    <w:tmpl w:val="D2CA3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56B"/>
    <w:rsid w:val="00000895"/>
    <w:rsid w:val="00005C7B"/>
    <w:rsid w:val="00007BC9"/>
    <w:rsid w:val="00014C22"/>
    <w:rsid w:val="00017285"/>
    <w:rsid w:val="0002101B"/>
    <w:rsid w:val="00027AF3"/>
    <w:rsid w:val="0003078F"/>
    <w:rsid w:val="00031209"/>
    <w:rsid w:val="000312EA"/>
    <w:rsid w:val="00031F05"/>
    <w:rsid w:val="00035076"/>
    <w:rsid w:val="00041BD2"/>
    <w:rsid w:val="00043475"/>
    <w:rsid w:val="00051707"/>
    <w:rsid w:val="00051C55"/>
    <w:rsid w:val="00067B8F"/>
    <w:rsid w:val="00071E49"/>
    <w:rsid w:val="00075147"/>
    <w:rsid w:val="00075C2A"/>
    <w:rsid w:val="00076440"/>
    <w:rsid w:val="00080604"/>
    <w:rsid w:val="00081DA6"/>
    <w:rsid w:val="00091271"/>
    <w:rsid w:val="00092D44"/>
    <w:rsid w:val="000B2461"/>
    <w:rsid w:val="000B3F48"/>
    <w:rsid w:val="000C4628"/>
    <w:rsid w:val="000C75B9"/>
    <w:rsid w:val="000D7688"/>
    <w:rsid w:val="000E229E"/>
    <w:rsid w:val="000E658A"/>
    <w:rsid w:val="000E6A08"/>
    <w:rsid w:val="000E7090"/>
    <w:rsid w:val="000F1E18"/>
    <w:rsid w:val="00101568"/>
    <w:rsid w:val="001057DC"/>
    <w:rsid w:val="00105C0B"/>
    <w:rsid w:val="00106057"/>
    <w:rsid w:val="00106842"/>
    <w:rsid w:val="00112759"/>
    <w:rsid w:val="00115075"/>
    <w:rsid w:val="00115E4F"/>
    <w:rsid w:val="0012271B"/>
    <w:rsid w:val="00123ADA"/>
    <w:rsid w:val="00125669"/>
    <w:rsid w:val="001300C5"/>
    <w:rsid w:val="00133B34"/>
    <w:rsid w:val="001365E1"/>
    <w:rsid w:val="00151167"/>
    <w:rsid w:val="001511F6"/>
    <w:rsid w:val="00151B96"/>
    <w:rsid w:val="00152284"/>
    <w:rsid w:val="00171076"/>
    <w:rsid w:val="001774F0"/>
    <w:rsid w:val="0018277E"/>
    <w:rsid w:val="00184177"/>
    <w:rsid w:val="00192547"/>
    <w:rsid w:val="001A3BE7"/>
    <w:rsid w:val="001A77BA"/>
    <w:rsid w:val="001B6705"/>
    <w:rsid w:val="001C02AD"/>
    <w:rsid w:val="001D6E0A"/>
    <w:rsid w:val="001D6F88"/>
    <w:rsid w:val="001E61CC"/>
    <w:rsid w:val="001F3909"/>
    <w:rsid w:val="001F519B"/>
    <w:rsid w:val="001F6392"/>
    <w:rsid w:val="0020699E"/>
    <w:rsid w:val="002100A2"/>
    <w:rsid w:val="002162F6"/>
    <w:rsid w:val="002268BB"/>
    <w:rsid w:val="00240444"/>
    <w:rsid w:val="00241CD6"/>
    <w:rsid w:val="0024452F"/>
    <w:rsid w:val="002522B9"/>
    <w:rsid w:val="00256779"/>
    <w:rsid w:val="0026056B"/>
    <w:rsid w:val="00261FCD"/>
    <w:rsid w:val="002701F2"/>
    <w:rsid w:val="002957A3"/>
    <w:rsid w:val="002B3D51"/>
    <w:rsid w:val="002B4B52"/>
    <w:rsid w:val="002B4F04"/>
    <w:rsid w:val="002B629B"/>
    <w:rsid w:val="002C0C03"/>
    <w:rsid w:val="002C4485"/>
    <w:rsid w:val="002C45FD"/>
    <w:rsid w:val="002D75CA"/>
    <w:rsid w:val="002E10A8"/>
    <w:rsid w:val="0030481E"/>
    <w:rsid w:val="00314F29"/>
    <w:rsid w:val="003166E7"/>
    <w:rsid w:val="00331CD5"/>
    <w:rsid w:val="00342307"/>
    <w:rsid w:val="0034715F"/>
    <w:rsid w:val="003504CE"/>
    <w:rsid w:val="00355DA5"/>
    <w:rsid w:val="00366842"/>
    <w:rsid w:val="00367506"/>
    <w:rsid w:val="00372700"/>
    <w:rsid w:val="00372D86"/>
    <w:rsid w:val="003755B6"/>
    <w:rsid w:val="00380E5E"/>
    <w:rsid w:val="00382E95"/>
    <w:rsid w:val="00385086"/>
    <w:rsid w:val="003862CE"/>
    <w:rsid w:val="0039136C"/>
    <w:rsid w:val="003A137E"/>
    <w:rsid w:val="003A65DD"/>
    <w:rsid w:val="003B3B88"/>
    <w:rsid w:val="003C1E4B"/>
    <w:rsid w:val="003D0980"/>
    <w:rsid w:val="003D2248"/>
    <w:rsid w:val="003E2CF6"/>
    <w:rsid w:val="003F0010"/>
    <w:rsid w:val="00400150"/>
    <w:rsid w:val="00400E4E"/>
    <w:rsid w:val="00402B36"/>
    <w:rsid w:val="0040421E"/>
    <w:rsid w:val="00406AB0"/>
    <w:rsid w:val="004140D6"/>
    <w:rsid w:val="00415305"/>
    <w:rsid w:val="004215F1"/>
    <w:rsid w:val="004267D8"/>
    <w:rsid w:val="00433F87"/>
    <w:rsid w:val="00434FF1"/>
    <w:rsid w:val="00435281"/>
    <w:rsid w:val="00484AE7"/>
    <w:rsid w:val="00485679"/>
    <w:rsid w:val="00485CC3"/>
    <w:rsid w:val="00490279"/>
    <w:rsid w:val="004916E6"/>
    <w:rsid w:val="004A1CC0"/>
    <w:rsid w:val="004A665D"/>
    <w:rsid w:val="004B05A1"/>
    <w:rsid w:val="004C1779"/>
    <w:rsid w:val="004C7AB3"/>
    <w:rsid w:val="004D4752"/>
    <w:rsid w:val="004E3ACA"/>
    <w:rsid w:val="004F0D5F"/>
    <w:rsid w:val="004F1CB6"/>
    <w:rsid w:val="004F1E42"/>
    <w:rsid w:val="00502340"/>
    <w:rsid w:val="00503347"/>
    <w:rsid w:val="0050445A"/>
    <w:rsid w:val="0051290E"/>
    <w:rsid w:val="0051613E"/>
    <w:rsid w:val="0052152F"/>
    <w:rsid w:val="00536B06"/>
    <w:rsid w:val="00554FE4"/>
    <w:rsid w:val="0055741F"/>
    <w:rsid w:val="005639C4"/>
    <w:rsid w:val="0056623E"/>
    <w:rsid w:val="00570277"/>
    <w:rsid w:val="00570D36"/>
    <w:rsid w:val="00574886"/>
    <w:rsid w:val="00576498"/>
    <w:rsid w:val="00577803"/>
    <w:rsid w:val="005817B5"/>
    <w:rsid w:val="00586D18"/>
    <w:rsid w:val="00587721"/>
    <w:rsid w:val="00594229"/>
    <w:rsid w:val="005A042B"/>
    <w:rsid w:val="005A4460"/>
    <w:rsid w:val="005A4568"/>
    <w:rsid w:val="005B3074"/>
    <w:rsid w:val="005B3216"/>
    <w:rsid w:val="005B4FD6"/>
    <w:rsid w:val="005C6728"/>
    <w:rsid w:val="005C7BB5"/>
    <w:rsid w:val="005D1C14"/>
    <w:rsid w:val="005D39C3"/>
    <w:rsid w:val="005D6D73"/>
    <w:rsid w:val="005E62DA"/>
    <w:rsid w:val="006009C6"/>
    <w:rsid w:val="006013F6"/>
    <w:rsid w:val="00604C69"/>
    <w:rsid w:val="006212BD"/>
    <w:rsid w:val="00627B2F"/>
    <w:rsid w:val="00636449"/>
    <w:rsid w:val="0063656B"/>
    <w:rsid w:val="006377C7"/>
    <w:rsid w:val="006377F0"/>
    <w:rsid w:val="00644674"/>
    <w:rsid w:val="006452B3"/>
    <w:rsid w:val="00656804"/>
    <w:rsid w:val="00657C28"/>
    <w:rsid w:val="006961E8"/>
    <w:rsid w:val="006A5069"/>
    <w:rsid w:val="006B4B8F"/>
    <w:rsid w:val="006B7085"/>
    <w:rsid w:val="006C25CA"/>
    <w:rsid w:val="006D20BE"/>
    <w:rsid w:val="006E3EF8"/>
    <w:rsid w:val="006E4A1C"/>
    <w:rsid w:val="00702D73"/>
    <w:rsid w:val="00703DCA"/>
    <w:rsid w:val="007047D9"/>
    <w:rsid w:val="0071269B"/>
    <w:rsid w:val="00715CDA"/>
    <w:rsid w:val="00715D29"/>
    <w:rsid w:val="00724D16"/>
    <w:rsid w:val="00725EDD"/>
    <w:rsid w:val="0073381E"/>
    <w:rsid w:val="00733DB3"/>
    <w:rsid w:val="0073468C"/>
    <w:rsid w:val="00747F7A"/>
    <w:rsid w:val="0075091B"/>
    <w:rsid w:val="00766BB4"/>
    <w:rsid w:val="00772294"/>
    <w:rsid w:val="0077354A"/>
    <w:rsid w:val="007846DF"/>
    <w:rsid w:val="007850A7"/>
    <w:rsid w:val="00791F58"/>
    <w:rsid w:val="0079280C"/>
    <w:rsid w:val="007A3FE3"/>
    <w:rsid w:val="007B348B"/>
    <w:rsid w:val="007B6F5F"/>
    <w:rsid w:val="007B7BAC"/>
    <w:rsid w:val="007C43FC"/>
    <w:rsid w:val="007C7976"/>
    <w:rsid w:val="007D33AD"/>
    <w:rsid w:val="007D72DD"/>
    <w:rsid w:val="007E0F94"/>
    <w:rsid w:val="007E2B7D"/>
    <w:rsid w:val="007F22FC"/>
    <w:rsid w:val="007F34B4"/>
    <w:rsid w:val="007F3D7D"/>
    <w:rsid w:val="007F41E3"/>
    <w:rsid w:val="007F6FFB"/>
    <w:rsid w:val="00804092"/>
    <w:rsid w:val="00805B6D"/>
    <w:rsid w:val="008114AB"/>
    <w:rsid w:val="008125A1"/>
    <w:rsid w:val="0081297A"/>
    <w:rsid w:val="00814C77"/>
    <w:rsid w:val="0082404E"/>
    <w:rsid w:val="00824108"/>
    <w:rsid w:val="00824A11"/>
    <w:rsid w:val="00830137"/>
    <w:rsid w:val="00830422"/>
    <w:rsid w:val="008368B0"/>
    <w:rsid w:val="00847721"/>
    <w:rsid w:val="00854FB4"/>
    <w:rsid w:val="00860849"/>
    <w:rsid w:val="00864A84"/>
    <w:rsid w:val="00871286"/>
    <w:rsid w:val="00875A49"/>
    <w:rsid w:val="00882F89"/>
    <w:rsid w:val="00890184"/>
    <w:rsid w:val="008921C0"/>
    <w:rsid w:val="008950B8"/>
    <w:rsid w:val="0089598C"/>
    <w:rsid w:val="00895D3D"/>
    <w:rsid w:val="008967AA"/>
    <w:rsid w:val="008A40A6"/>
    <w:rsid w:val="008A5A30"/>
    <w:rsid w:val="008B23C0"/>
    <w:rsid w:val="008C337D"/>
    <w:rsid w:val="008C508B"/>
    <w:rsid w:val="008D7C55"/>
    <w:rsid w:val="008E6A96"/>
    <w:rsid w:val="008F4B84"/>
    <w:rsid w:val="00907C35"/>
    <w:rsid w:val="0091763D"/>
    <w:rsid w:val="00921D1D"/>
    <w:rsid w:val="00932AFF"/>
    <w:rsid w:val="00934428"/>
    <w:rsid w:val="009345D3"/>
    <w:rsid w:val="00936CB8"/>
    <w:rsid w:val="00936ECA"/>
    <w:rsid w:val="009376FC"/>
    <w:rsid w:val="009455EF"/>
    <w:rsid w:val="009575DB"/>
    <w:rsid w:val="009578DF"/>
    <w:rsid w:val="009630D4"/>
    <w:rsid w:val="00965C89"/>
    <w:rsid w:val="00967F6D"/>
    <w:rsid w:val="00975F75"/>
    <w:rsid w:val="00977886"/>
    <w:rsid w:val="009801EB"/>
    <w:rsid w:val="00982770"/>
    <w:rsid w:val="0098489B"/>
    <w:rsid w:val="00997F2D"/>
    <w:rsid w:val="009A75E5"/>
    <w:rsid w:val="009A7F95"/>
    <w:rsid w:val="009B0AF8"/>
    <w:rsid w:val="009B28B6"/>
    <w:rsid w:val="009B2BD3"/>
    <w:rsid w:val="009B2C06"/>
    <w:rsid w:val="009B4093"/>
    <w:rsid w:val="009B7EF8"/>
    <w:rsid w:val="009C1C58"/>
    <w:rsid w:val="009D15EA"/>
    <w:rsid w:val="009D3DAE"/>
    <w:rsid w:val="009D408D"/>
    <w:rsid w:val="009D52ED"/>
    <w:rsid w:val="009D6E96"/>
    <w:rsid w:val="009E1759"/>
    <w:rsid w:val="009E1CF5"/>
    <w:rsid w:val="009E3C7A"/>
    <w:rsid w:val="009F6DA6"/>
    <w:rsid w:val="009F700E"/>
    <w:rsid w:val="00A04BB4"/>
    <w:rsid w:val="00A07876"/>
    <w:rsid w:val="00A07A83"/>
    <w:rsid w:val="00A13DDA"/>
    <w:rsid w:val="00A14906"/>
    <w:rsid w:val="00A30A7E"/>
    <w:rsid w:val="00A55222"/>
    <w:rsid w:val="00A60497"/>
    <w:rsid w:val="00A62D25"/>
    <w:rsid w:val="00A7163C"/>
    <w:rsid w:val="00A82937"/>
    <w:rsid w:val="00A87777"/>
    <w:rsid w:val="00A91E6A"/>
    <w:rsid w:val="00A93E60"/>
    <w:rsid w:val="00A95000"/>
    <w:rsid w:val="00A95A97"/>
    <w:rsid w:val="00A978B5"/>
    <w:rsid w:val="00AA0C3E"/>
    <w:rsid w:val="00AA3BC1"/>
    <w:rsid w:val="00AA3C33"/>
    <w:rsid w:val="00AA7055"/>
    <w:rsid w:val="00AB382F"/>
    <w:rsid w:val="00AB58B6"/>
    <w:rsid w:val="00AD70D1"/>
    <w:rsid w:val="00AE0C56"/>
    <w:rsid w:val="00AF0F45"/>
    <w:rsid w:val="00AF0F4B"/>
    <w:rsid w:val="00AF286A"/>
    <w:rsid w:val="00AF32E3"/>
    <w:rsid w:val="00B01E99"/>
    <w:rsid w:val="00B0598A"/>
    <w:rsid w:val="00B0650F"/>
    <w:rsid w:val="00B12CC8"/>
    <w:rsid w:val="00B13CBF"/>
    <w:rsid w:val="00B17D46"/>
    <w:rsid w:val="00B21F0F"/>
    <w:rsid w:val="00B24FE7"/>
    <w:rsid w:val="00B26540"/>
    <w:rsid w:val="00B41798"/>
    <w:rsid w:val="00B45B77"/>
    <w:rsid w:val="00B507C7"/>
    <w:rsid w:val="00B60A23"/>
    <w:rsid w:val="00B73505"/>
    <w:rsid w:val="00B83373"/>
    <w:rsid w:val="00B84123"/>
    <w:rsid w:val="00B9095B"/>
    <w:rsid w:val="00B9219E"/>
    <w:rsid w:val="00BA129A"/>
    <w:rsid w:val="00BB2DA4"/>
    <w:rsid w:val="00BB45FC"/>
    <w:rsid w:val="00BD0C54"/>
    <w:rsid w:val="00BD1D48"/>
    <w:rsid w:val="00BD1E73"/>
    <w:rsid w:val="00BD711D"/>
    <w:rsid w:val="00BE4838"/>
    <w:rsid w:val="00BE72FD"/>
    <w:rsid w:val="00BE766A"/>
    <w:rsid w:val="00BF170B"/>
    <w:rsid w:val="00BF20A8"/>
    <w:rsid w:val="00BF4DEB"/>
    <w:rsid w:val="00C13C07"/>
    <w:rsid w:val="00C14E3E"/>
    <w:rsid w:val="00C254E9"/>
    <w:rsid w:val="00C27125"/>
    <w:rsid w:val="00C30AC4"/>
    <w:rsid w:val="00C4551E"/>
    <w:rsid w:val="00C473D6"/>
    <w:rsid w:val="00C53741"/>
    <w:rsid w:val="00C56035"/>
    <w:rsid w:val="00C605F9"/>
    <w:rsid w:val="00C617FB"/>
    <w:rsid w:val="00C62D19"/>
    <w:rsid w:val="00C64AEB"/>
    <w:rsid w:val="00C70AAB"/>
    <w:rsid w:val="00C72F9A"/>
    <w:rsid w:val="00C7439A"/>
    <w:rsid w:val="00C80962"/>
    <w:rsid w:val="00C82BD5"/>
    <w:rsid w:val="00C87CFB"/>
    <w:rsid w:val="00C95D73"/>
    <w:rsid w:val="00CA23E0"/>
    <w:rsid w:val="00CA28D2"/>
    <w:rsid w:val="00CA3F6B"/>
    <w:rsid w:val="00CB56D4"/>
    <w:rsid w:val="00CC5FB7"/>
    <w:rsid w:val="00CD12DE"/>
    <w:rsid w:val="00CD3CEE"/>
    <w:rsid w:val="00CD419C"/>
    <w:rsid w:val="00CD55D4"/>
    <w:rsid w:val="00CE0A66"/>
    <w:rsid w:val="00CF3317"/>
    <w:rsid w:val="00CF5434"/>
    <w:rsid w:val="00D03324"/>
    <w:rsid w:val="00D04623"/>
    <w:rsid w:val="00D06035"/>
    <w:rsid w:val="00D07995"/>
    <w:rsid w:val="00D07BB2"/>
    <w:rsid w:val="00D21D75"/>
    <w:rsid w:val="00D24BCA"/>
    <w:rsid w:val="00D259E6"/>
    <w:rsid w:val="00D27688"/>
    <w:rsid w:val="00D3536E"/>
    <w:rsid w:val="00D36DE3"/>
    <w:rsid w:val="00D52567"/>
    <w:rsid w:val="00D52D2C"/>
    <w:rsid w:val="00D540F1"/>
    <w:rsid w:val="00D57275"/>
    <w:rsid w:val="00D63755"/>
    <w:rsid w:val="00D709CE"/>
    <w:rsid w:val="00D7342E"/>
    <w:rsid w:val="00D83FF5"/>
    <w:rsid w:val="00D860FD"/>
    <w:rsid w:val="00D87FEE"/>
    <w:rsid w:val="00D94187"/>
    <w:rsid w:val="00DA0702"/>
    <w:rsid w:val="00DA388A"/>
    <w:rsid w:val="00DC2C3D"/>
    <w:rsid w:val="00DC43E8"/>
    <w:rsid w:val="00DD3CC4"/>
    <w:rsid w:val="00E22C64"/>
    <w:rsid w:val="00E22E58"/>
    <w:rsid w:val="00E24202"/>
    <w:rsid w:val="00E27CF1"/>
    <w:rsid w:val="00E36710"/>
    <w:rsid w:val="00E42F0C"/>
    <w:rsid w:val="00E46BF3"/>
    <w:rsid w:val="00E50703"/>
    <w:rsid w:val="00E51B11"/>
    <w:rsid w:val="00E62FFA"/>
    <w:rsid w:val="00E6588F"/>
    <w:rsid w:val="00E72CB1"/>
    <w:rsid w:val="00E77759"/>
    <w:rsid w:val="00E82217"/>
    <w:rsid w:val="00E9127D"/>
    <w:rsid w:val="00EA1CD5"/>
    <w:rsid w:val="00EB2831"/>
    <w:rsid w:val="00EB6806"/>
    <w:rsid w:val="00EB6C67"/>
    <w:rsid w:val="00EC2870"/>
    <w:rsid w:val="00EC3330"/>
    <w:rsid w:val="00EC6388"/>
    <w:rsid w:val="00EC6952"/>
    <w:rsid w:val="00EC7F1F"/>
    <w:rsid w:val="00ED3188"/>
    <w:rsid w:val="00ED418E"/>
    <w:rsid w:val="00EE0023"/>
    <w:rsid w:val="00EE1425"/>
    <w:rsid w:val="00EE3EE7"/>
    <w:rsid w:val="00EE4647"/>
    <w:rsid w:val="00EE5E5C"/>
    <w:rsid w:val="00EF342B"/>
    <w:rsid w:val="00EF4AFC"/>
    <w:rsid w:val="00EF57C3"/>
    <w:rsid w:val="00F14037"/>
    <w:rsid w:val="00F15EEE"/>
    <w:rsid w:val="00F24D91"/>
    <w:rsid w:val="00F268B2"/>
    <w:rsid w:val="00F41EAA"/>
    <w:rsid w:val="00F43D46"/>
    <w:rsid w:val="00F446CA"/>
    <w:rsid w:val="00F57B3A"/>
    <w:rsid w:val="00F638E4"/>
    <w:rsid w:val="00F67C0E"/>
    <w:rsid w:val="00F83F9D"/>
    <w:rsid w:val="00F86061"/>
    <w:rsid w:val="00F90131"/>
    <w:rsid w:val="00FA7458"/>
    <w:rsid w:val="00FB0BAD"/>
    <w:rsid w:val="00FC01A5"/>
    <w:rsid w:val="00FC15F2"/>
    <w:rsid w:val="00FC7936"/>
    <w:rsid w:val="00FE7BB9"/>
    <w:rsid w:val="00FF36B2"/>
    <w:rsid w:val="00FF6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D290B0F"/>
  <w15:docId w15:val="{16D758E1-E114-41DC-A724-F741ED02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6">
    <w:name w:val="heading 6"/>
    <w:basedOn w:val="Normal"/>
    <w:next w:val="Normal"/>
    <w:link w:val="Heading6Char"/>
    <w:qFormat/>
    <w:rsid w:val="002100A2"/>
    <w:pPr>
      <w:keepNext/>
      <w:autoSpaceDE w:val="0"/>
      <w:autoSpaceDN w:val="0"/>
      <w:adjustRightInd w:val="0"/>
      <w:spacing w:after="0" w:line="240" w:lineRule="auto"/>
      <w:outlineLvl w:val="5"/>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100A2"/>
    <w:rPr>
      <w:rFonts w:ascii="Arial" w:eastAsia="Times New Roman" w:hAnsi="Arial" w:cs="Arial"/>
      <w:b/>
      <w:bCs/>
      <w:sz w:val="24"/>
      <w:szCs w:val="24"/>
      <w:lang w:eastAsia="en-US"/>
    </w:rPr>
  </w:style>
  <w:style w:type="paragraph" w:styleId="FootnoteText">
    <w:name w:val="footnote text"/>
    <w:basedOn w:val="Normal"/>
    <w:link w:val="FootnoteTextChar"/>
    <w:semiHidden/>
    <w:rsid w:val="002100A2"/>
    <w:pPr>
      <w:spacing w:after="0" w:line="240" w:lineRule="auto"/>
    </w:pPr>
    <w:rPr>
      <w:rFonts w:ascii="Arial" w:eastAsia="Times New Roman" w:hAnsi="Arial"/>
      <w:sz w:val="20"/>
      <w:szCs w:val="20"/>
    </w:rPr>
  </w:style>
  <w:style w:type="character" w:customStyle="1" w:styleId="FootnoteTextChar">
    <w:name w:val="Footnote Text Char"/>
    <w:basedOn w:val="DefaultParagraphFont"/>
    <w:link w:val="FootnoteText"/>
    <w:semiHidden/>
    <w:rsid w:val="002100A2"/>
    <w:rPr>
      <w:rFonts w:ascii="Arial" w:eastAsia="Times New Roman" w:hAnsi="Arial"/>
      <w:lang w:eastAsia="en-US"/>
    </w:rPr>
  </w:style>
  <w:style w:type="character" w:styleId="FootnoteReference">
    <w:name w:val="footnote reference"/>
    <w:semiHidden/>
    <w:rsid w:val="002100A2"/>
    <w:rPr>
      <w:vertAlign w:val="superscript"/>
    </w:rPr>
  </w:style>
  <w:style w:type="paragraph" w:styleId="BalloonText">
    <w:name w:val="Balloon Text"/>
    <w:basedOn w:val="Normal"/>
    <w:link w:val="BalloonTextChar"/>
    <w:uiPriority w:val="99"/>
    <w:semiHidden/>
    <w:unhideWhenUsed/>
    <w:rsid w:val="00304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81E"/>
    <w:rPr>
      <w:rFonts w:ascii="Tahoma" w:hAnsi="Tahoma" w:cs="Tahoma"/>
      <w:sz w:val="16"/>
      <w:szCs w:val="16"/>
      <w:lang w:eastAsia="en-US"/>
    </w:rPr>
  </w:style>
  <w:style w:type="paragraph" w:customStyle="1" w:styleId="Default">
    <w:name w:val="Default"/>
    <w:rsid w:val="00BD0C54"/>
    <w:pPr>
      <w:autoSpaceDE w:val="0"/>
      <w:autoSpaceDN w:val="0"/>
      <w:adjustRightInd w:val="0"/>
    </w:pPr>
    <w:rPr>
      <w:rFonts w:ascii="Foundry Form Sans" w:eastAsia="Times New Roman" w:hAnsi="Foundry Form Sans" w:cs="Foundry Form Sans"/>
      <w:color w:val="000000"/>
      <w:sz w:val="24"/>
      <w:szCs w:val="24"/>
    </w:rPr>
  </w:style>
  <w:style w:type="paragraph" w:styleId="Header">
    <w:name w:val="header"/>
    <w:basedOn w:val="Normal"/>
    <w:link w:val="HeaderChar"/>
    <w:uiPriority w:val="99"/>
    <w:unhideWhenUsed/>
    <w:rsid w:val="001511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167"/>
    <w:rPr>
      <w:sz w:val="22"/>
      <w:szCs w:val="22"/>
      <w:lang w:eastAsia="en-US"/>
    </w:rPr>
  </w:style>
  <w:style w:type="paragraph" w:styleId="Footer">
    <w:name w:val="footer"/>
    <w:basedOn w:val="Normal"/>
    <w:link w:val="FooterChar"/>
    <w:uiPriority w:val="99"/>
    <w:unhideWhenUsed/>
    <w:rsid w:val="001511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167"/>
    <w:rPr>
      <w:sz w:val="22"/>
      <w:szCs w:val="22"/>
      <w:lang w:eastAsia="en-US"/>
    </w:rPr>
  </w:style>
  <w:style w:type="character" w:styleId="Hyperlink">
    <w:name w:val="Hyperlink"/>
    <w:basedOn w:val="DefaultParagraphFont"/>
    <w:uiPriority w:val="99"/>
    <w:unhideWhenUsed/>
    <w:rsid w:val="00C87CFB"/>
    <w:rPr>
      <w:color w:val="0000FF" w:themeColor="hyperlink"/>
      <w:u w:val="single"/>
    </w:rPr>
  </w:style>
  <w:style w:type="paragraph" w:styleId="ListParagraph">
    <w:name w:val="List Paragraph"/>
    <w:basedOn w:val="Normal"/>
    <w:uiPriority w:val="34"/>
    <w:qFormat/>
    <w:rsid w:val="001F3909"/>
    <w:pPr>
      <w:ind w:left="720"/>
      <w:contextualSpacing/>
    </w:pPr>
  </w:style>
  <w:style w:type="table" w:styleId="TableGrid">
    <w:name w:val="Table Grid"/>
    <w:basedOn w:val="TableNormal"/>
    <w:uiPriority w:val="59"/>
    <w:rsid w:val="00D57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137167">
      <w:bodyDiv w:val="1"/>
      <w:marLeft w:val="0"/>
      <w:marRight w:val="0"/>
      <w:marTop w:val="0"/>
      <w:marBottom w:val="0"/>
      <w:divBdr>
        <w:top w:val="none" w:sz="0" w:space="0" w:color="auto"/>
        <w:left w:val="none" w:sz="0" w:space="0" w:color="auto"/>
        <w:bottom w:val="none" w:sz="0" w:space="0" w:color="auto"/>
        <w:right w:val="none" w:sz="0" w:space="0" w:color="auto"/>
      </w:divBdr>
    </w:div>
    <w:div w:id="750277931">
      <w:bodyDiv w:val="1"/>
      <w:marLeft w:val="0"/>
      <w:marRight w:val="0"/>
      <w:marTop w:val="0"/>
      <w:marBottom w:val="0"/>
      <w:divBdr>
        <w:top w:val="none" w:sz="0" w:space="0" w:color="auto"/>
        <w:left w:val="none" w:sz="0" w:space="0" w:color="auto"/>
        <w:bottom w:val="none" w:sz="0" w:space="0" w:color="auto"/>
        <w:right w:val="none" w:sz="0" w:space="0" w:color="auto"/>
      </w:divBdr>
    </w:div>
    <w:div w:id="1129276053">
      <w:bodyDiv w:val="1"/>
      <w:marLeft w:val="0"/>
      <w:marRight w:val="0"/>
      <w:marTop w:val="0"/>
      <w:marBottom w:val="0"/>
      <w:divBdr>
        <w:top w:val="none" w:sz="0" w:space="0" w:color="auto"/>
        <w:left w:val="none" w:sz="0" w:space="0" w:color="auto"/>
        <w:bottom w:val="none" w:sz="0" w:space="0" w:color="auto"/>
        <w:right w:val="none" w:sz="0" w:space="0" w:color="auto"/>
      </w:divBdr>
    </w:div>
    <w:div w:id="1267225527">
      <w:bodyDiv w:val="1"/>
      <w:marLeft w:val="0"/>
      <w:marRight w:val="0"/>
      <w:marTop w:val="0"/>
      <w:marBottom w:val="0"/>
      <w:divBdr>
        <w:top w:val="none" w:sz="0" w:space="0" w:color="auto"/>
        <w:left w:val="none" w:sz="0" w:space="0" w:color="auto"/>
        <w:bottom w:val="none" w:sz="0" w:space="0" w:color="auto"/>
        <w:right w:val="none" w:sz="0" w:space="0" w:color="auto"/>
      </w:divBdr>
    </w:div>
    <w:div w:id="1538271192">
      <w:bodyDiv w:val="1"/>
      <w:marLeft w:val="0"/>
      <w:marRight w:val="0"/>
      <w:marTop w:val="0"/>
      <w:marBottom w:val="0"/>
      <w:divBdr>
        <w:top w:val="none" w:sz="0" w:space="0" w:color="auto"/>
        <w:left w:val="none" w:sz="0" w:space="0" w:color="auto"/>
        <w:bottom w:val="none" w:sz="0" w:space="0" w:color="auto"/>
        <w:right w:val="none" w:sz="0" w:space="0" w:color="auto"/>
      </w:divBdr>
    </w:div>
    <w:div w:id="1728601363">
      <w:bodyDiv w:val="1"/>
      <w:marLeft w:val="0"/>
      <w:marRight w:val="0"/>
      <w:marTop w:val="0"/>
      <w:marBottom w:val="0"/>
      <w:divBdr>
        <w:top w:val="none" w:sz="0" w:space="0" w:color="auto"/>
        <w:left w:val="none" w:sz="0" w:space="0" w:color="auto"/>
        <w:bottom w:val="none" w:sz="0" w:space="0" w:color="auto"/>
        <w:right w:val="none" w:sz="0" w:space="0" w:color="auto"/>
      </w:divBdr>
    </w:div>
    <w:div w:id="1988968399">
      <w:bodyDiv w:val="1"/>
      <w:marLeft w:val="0"/>
      <w:marRight w:val="0"/>
      <w:marTop w:val="0"/>
      <w:marBottom w:val="0"/>
      <w:divBdr>
        <w:top w:val="none" w:sz="0" w:space="0" w:color="auto"/>
        <w:left w:val="none" w:sz="0" w:space="0" w:color="auto"/>
        <w:bottom w:val="none" w:sz="0" w:space="0" w:color="auto"/>
        <w:right w:val="none" w:sz="0" w:space="0" w:color="auto"/>
      </w:divBdr>
    </w:div>
    <w:div w:id="2054576120">
      <w:bodyDiv w:val="1"/>
      <w:marLeft w:val="0"/>
      <w:marRight w:val="0"/>
      <w:marTop w:val="0"/>
      <w:marBottom w:val="0"/>
      <w:divBdr>
        <w:top w:val="none" w:sz="0" w:space="0" w:color="auto"/>
        <w:left w:val="none" w:sz="0" w:space="0" w:color="auto"/>
        <w:bottom w:val="none" w:sz="0" w:space="0" w:color="auto"/>
        <w:right w:val="none" w:sz="0" w:space="0" w:color="auto"/>
      </w:divBdr>
    </w:div>
    <w:div w:id="2090731030">
      <w:bodyDiv w:val="1"/>
      <w:marLeft w:val="0"/>
      <w:marRight w:val="0"/>
      <w:marTop w:val="0"/>
      <w:marBottom w:val="0"/>
      <w:divBdr>
        <w:top w:val="none" w:sz="0" w:space="0" w:color="auto"/>
        <w:left w:val="none" w:sz="0" w:space="0" w:color="auto"/>
        <w:bottom w:val="none" w:sz="0" w:space="0" w:color="auto"/>
        <w:right w:val="none" w:sz="0" w:space="0" w:color="auto"/>
      </w:divBdr>
    </w:div>
    <w:div w:id="212935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DD2DE41F6203346856326E91AA82431" ma:contentTypeVersion="4" ma:contentTypeDescription="Create a new document." ma:contentTypeScope="" ma:versionID="d605db9afe6b1d15d2c829546994da0e">
  <xsd:schema xmlns:xsd="http://www.w3.org/2001/XMLSchema" xmlns:xs="http://www.w3.org/2001/XMLSchema" xmlns:p="http://schemas.microsoft.com/office/2006/metadata/properties" xmlns:ns2="0fc10596-915e-4482-802b-42073deb5209" targetNamespace="http://schemas.microsoft.com/office/2006/metadata/properties" ma:root="true" ma:fieldsID="fb9dc83154fa6dc88a820dc265ea03c4" ns2:_="">
    <xsd:import namespace="0fc10596-915e-4482-802b-42073deb52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10596-915e-4482-802b-42073deb5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8E1136-59D8-46D6-999B-AB6DFB6E6288}">
  <ds:schemaRefs>
    <ds:schemaRef ds:uri="http://schemas.openxmlformats.org/officeDocument/2006/bibliography"/>
  </ds:schemaRefs>
</ds:datastoreItem>
</file>

<file path=customXml/itemProps2.xml><?xml version="1.0" encoding="utf-8"?>
<ds:datastoreItem xmlns:ds="http://schemas.openxmlformats.org/officeDocument/2006/customXml" ds:itemID="{D162EFD4-A430-4E1C-A19B-546879D4D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10596-915e-4482-802b-42073deb5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B3669-326A-4A94-83BB-1D8878B43B31}">
  <ds:schemaRefs>
    <ds:schemaRef ds:uri="http://schemas.microsoft.com/sharepoint/v3/contenttype/forms"/>
  </ds:schemaRefs>
</ds:datastoreItem>
</file>

<file path=customXml/itemProps4.xml><?xml version="1.0" encoding="utf-8"?>
<ds:datastoreItem xmlns:ds="http://schemas.openxmlformats.org/officeDocument/2006/customXml" ds:itemID="{086E694F-3481-4C30-BCF8-59361793FDD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fc10596-915e-4482-802b-42073deb520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8</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Kuljit Bisal</dc:creator>
  <cp:keywords>Demography Report</cp:keywords>
  <cp:lastModifiedBy>Kuljit Bisal</cp:lastModifiedBy>
  <cp:revision>81</cp:revision>
  <cp:lastPrinted>2019-06-19T10:36:00Z</cp:lastPrinted>
  <dcterms:created xsi:type="dcterms:W3CDTF">2021-07-21T10:32:00Z</dcterms:created>
  <dcterms:modified xsi:type="dcterms:W3CDTF">2021-07-30T14:18:00Z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0x0101000DD2DE41F6203346856326E91AA82431</vt:lpwstr>
  </property>
  <property fmtid="{D5CDD505-2E9C-101B-9397-08002B2CF9AE}" pid="3" name="TaxKeyword">
    <vt:lpwstr>3;#Demography Report|a3455282-8811-4f8e-ae59-a86878fd1bf4</vt:lpwstr>
  </property>
  <property fmtid="{D5CDD505-2E9C-101B-9397-08002B2CF9AE}" pid="4" name="Order">
    <vt:r8>9000</vt:r8>
  </property>
  <property fmtid="{D5CDD505-2E9C-101B-9397-08002B2CF9AE}" pid="5" name="Protective Marking">
    <vt:lpwstr>OFFICIAL</vt:lpwstr>
  </property>
</Properties>
</file>